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</w:rPr>
        <w:t>《羽毛球》</w:t>
      </w:r>
      <w:r>
        <w:rPr>
          <w:rFonts w:hint="eastAsia" w:ascii="黑体" w:hAnsi="黑体" w:eastAsia="黑体"/>
          <w:sz w:val="32"/>
          <w:szCs w:val="32"/>
        </w:rPr>
        <w:t>课程教学大纲</w:t>
      </w:r>
    </w:p>
    <w:p>
      <w:pPr>
        <w:pStyle w:val="2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Badminton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PEED0007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选修课程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体育教育专业、运动训练专业、民族体育传统专业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1.00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龚肖奕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2021.10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施志社王家宏编著《怎样打羽毛球》苏州大学出版社，2006年</w:t>
            </w:r>
          </w:p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肖杰《羽毛球运动理论与实践》人民体育出版社，2017年</w:t>
            </w:r>
          </w:p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国家体育总局职业技能鉴定知道中心《羽毛球.初级》高等教育出版社，2018年</w:t>
            </w:r>
          </w:p>
          <w:p>
            <w:pPr>
              <w:spacing w:beforeLines="50" w:afterLines="50"/>
              <w:jc w:val="left"/>
              <w:rPr>
                <w:rFonts w:ascii="Times New Roman" w:hAnsi="Times New Roman"/>
              </w:rPr>
            </w:pPr>
            <w:r>
              <w:rPr>
                <w:rFonts w:hint="eastAsia" w:ascii="宋体" w:hAnsi="宋体" w:eastAsia="宋体"/>
              </w:rPr>
              <w:t>《羽毛球竞赛规则》中国羽毛球协会审定（最近版本）</w:t>
            </w:r>
          </w:p>
        </w:tc>
      </w:tr>
    </w:tbl>
    <w:p>
      <w:pPr>
        <w:pStyle w:val="2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rPr>
          <w:rFonts w:ascii="黑体" w:hAnsi="宋体" w:eastAsia="宋体" w:cs="Times New Roman"/>
          <w:bCs/>
          <w:szCs w:val="21"/>
        </w:rPr>
      </w:pPr>
      <w:r>
        <w:rPr>
          <w:rFonts w:hint="eastAsia" w:ascii="黑体" w:hAnsi="宋体" w:eastAsia="宋体" w:cs="Times New Roman"/>
          <w:bCs/>
          <w:szCs w:val="21"/>
        </w:rPr>
        <w:t>《羽毛球》是体育专业基础课程。课程旨在为学生提供一个理解羽毛球的入门介绍，使学生能够对羽毛球形成整体认识，了解羽毛球的历史发展、研究领域和主要问题，熟悉羽毛球的基本技能，为专业学习和后续课程的学习打下必要的专业基础。在专业态度上养成良好的学习意识，并产生对羽毛球的兴趣，并在一定程度上明确良好的学习目标，为个人专业的职业发展提供导向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rPr>
          <w:rFonts w:ascii="黑体" w:hAnsi="宋体" w:eastAsia="宋体" w:cs="Times New Roman"/>
          <w:bCs/>
          <w:szCs w:val="21"/>
        </w:rPr>
      </w:pPr>
      <w:r>
        <w:rPr>
          <w:rFonts w:hint="eastAsia" w:ascii="黑体" w:hAnsi="宋体" w:eastAsia="宋体" w:cs="Times New Roman"/>
          <w:bCs/>
          <w:szCs w:val="21"/>
        </w:rPr>
        <w:t>较系统介绍羽毛球运动的发展历程、基本概念、基本技术、基本战术、体能素质、心理品质、竞赛规则、裁判方法和运动常识；指导学生正确理解羽毛球运动的规律，帮助学生逐步掌握羽毛球运动的主要技术和战术；培养学生对羽毛球运动的爱好和兴趣；为开展和普及羽毛球运动培养专门的技术人才。让学生了解羽毛球运动的基本规律，较系统地掌握羽毛球运动的基本理论、基本知识、基本技能，以胜任中等学校羽毛球课程教学、羽毛球比赛裁判和指导课外活动的工作。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/>
          <w:szCs w:val="21"/>
        </w:rPr>
        <w:t>理论部分主要讲授羽毛球运动的起源和发展，各项技术、战术，技术分类，专项身体素质训练法，裁判用语，临场裁判法，比赛的组织编排。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/>
          <w:szCs w:val="21"/>
        </w:rPr>
        <w:t>技术部分主要讲授各种技术动作要领及运用，脚步移动，专项身体素质，技术打法和战术意识，比赛作风，临场裁判的实践和比赛的组织编排。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  <w:r>
        <w:rPr>
          <w:rFonts w:hint="eastAsia" w:hAnsi="宋体" w:cs="宋体"/>
        </w:rPr>
        <w:t>（小四号黑体）</w:t>
      </w:r>
    </w:p>
    <w:p>
      <w:pPr>
        <w:pStyle w:val="2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  <w:r>
        <w:rPr>
          <w:rFonts w:hint="eastAsia" w:ascii="黑体" w:hAnsi="宋体"/>
          <w:bCs/>
          <w:szCs w:val="21"/>
        </w:rPr>
        <w:t>（五号宋体）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了解中国羽毛球运动和世界羽毛球运动发展轨迹、演变过程；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/>
              </w:rPr>
              <w:t>掌握运动训练的基本理论、基本技能和基本方法，具备</w:t>
            </w:r>
            <w:r>
              <w:rPr>
                <w:rFonts w:hint="eastAsia" w:ascii="Times New Roman" w:hAnsi="Times New Roman"/>
              </w:rPr>
              <w:t>基本</w:t>
            </w:r>
            <w:r>
              <w:rPr>
                <w:rFonts w:ascii="Times New Roman" w:hAnsi="Times New Roman"/>
              </w:rPr>
              <w:t>的专业技能；初步掌</w:t>
            </w:r>
            <w:r>
              <w:rPr>
                <w:rFonts w:hint="eastAsia"/>
              </w:rPr>
              <w:t>握运动训练学研究的基本手段和方法，能够运用运动训练学的理论和技能分析和解决本专业各种实际问题；掌握体育教学一般规律和基本技能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/>
                <w:szCs w:val="21"/>
              </w:rPr>
              <w:t>具备准确的裁判用语、临场裁判、组织编排能力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掌握羽毛球运动的基本概念，</w:t>
            </w:r>
            <w:r>
              <w:rPr>
                <w:rFonts w:hint="eastAsia"/>
                <w:szCs w:val="21"/>
              </w:rPr>
              <w:t>羽毛球运动的基本技、战术方法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明确羽毛球运动战术体系，分析羽毛球运动战术；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</w:tbl>
    <w:p>
      <w:pPr>
        <w:spacing w:beforeLines="50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  <w:r>
        <w:rPr>
          <w:rFonts w:hint="eastAsia" w:ascii="宋体" w:hAnsi="宋体" w:eastAsia="宋体"/>
          <w:szCs w:val="21"/>
        </w:rPr>
        <w:t>（四号黑体）</w:t>
      </w:r>
    </w:p>
    <w:p>
      <w:pPr>
        <w:widowControl/>
        <w:spacing w:beforeLines="50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第一章羽毛球运动概述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（小四号黑体）</w:t>
      </w:r>
    </w:p>
    <w:p>
      <w:pPr>
        <w:snapToGrid w:val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一、羽毛球运动的起源</w:t>
      </w:r>
    </w:p>
    <w:p>
      <w:pPr>
        <w:snapToGrid w:val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古代羽毛球运动的起源、现代羽毛球运动的起源   </w:t>
      </w:r>
    </w:p>
    <w:p>
      <w:pPr>
        <w:snapToGrid w:val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二、羽毛球运动的发展</w:t>
      </w:r>
    </w:p>
    <w:p>
      <w:pPr>
        <w:snapToGrid w:val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世界羽毛球运动的发展、中国羽毛球运动的发展    </w:t>
      </w:r>
    </w:p>
    <w:p>
      <w:pPr>
        <w:snapToGrid w:val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三、羽毛运动球运动的特点和价值</w:t>
      </w:r>
    </w:p>
    <w:p>
      <w:pPr>
        <w:snapToGrid w:val="0"/>
        <w:ind w:left="1155" w:hanging="1155" w:hangingChars="55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特点：全身运动、可调节运动量、简便性（1、不受场地的限制；2、集体个人皆宜；3、不受年龄性别的限制）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价值：娱乐性(1、自娱性；2、观赏性)、锻炼性(1、增强体制、2、培养意志、3、陶冶心灵)</w:t>
      </w:r>
    </w:p>
    <w:p>
      <w:pPr>
        <w:snapToGrid w:val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四、羽毛球运动的发展趋势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第二章羽毛球基本技术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（小四号黑体）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羽毛球握拍技术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教学要点：握拍一定要放松自然，在击球的一瞬间抓紧球拍。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羽毛球发球技术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教学要点：正手发高远球、正手发网前球、反手发网前球和平球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  击球准备姿势和站位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教学要点：接发球前的准备姿势和站位、接发球准备姿势和站位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羽毛球技术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教学要点：1、基本环节(判断选位、反应起动、移动引拍、到位击球)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        2、击球技术要领（握拍正确灵活多变、击球点要恰到好处、动作协调、控制好拍面、动作一致性）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        3、击球技术分类（以击球点在击球者身体位置的方向分类、以击球者击球时在场上的位置分类、以球的飞行弧线分类）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        4、拍面的控制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   击球技术（前场技术）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教学要点：1、放网前球技术(正、反手)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         2、网前搓球技术(正、反手)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         3、网前推球技术（正、反手）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         4、网前勾球技术（正、反手）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         5、网前扑球技术（正手）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         6、网前挑球技术(正、反手)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第六节    击球技术(中场技术)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教学要点：1、挡球技术（正、反手）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         2、接杀球技术（正、反手）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         3、平抽球技术（正手）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第七节     击球技术（后场技术）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教学要点：1、正手击直线高球和对角线高球技术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          2、头顶击直线高球和对角线高球技术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          3、吊球技术（正手和头顶）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第八节     步法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教学要点：1、场上步法的基本环节（走动、移动、到位配合击球、回动）</w:t>
      </w:r>
    </w:p>
    <w:p>
      <w:pPr>
        <w:snapToGrid w:val="0"/>
        <w:ind w:left="1260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          2、基本步法(上网移动步法、两侧移动步法、后退移动步法、前后场连贯移动步法、每次击球后回位的重要性、后场被动步法)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第三章羽毛球基本战术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（小四号黑体）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单打基本战术和打法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单打基本战术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教学要点：1、发球战术（后场高远球、发平高球、发平快球、发网前球）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2、接发球战术（接发高远球、接发平高球、接发平快球、接发网前）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3、逼反手战术（调开对方位置、逼反手较差的对手）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4、平高球压底线战术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5、拉、吊结合杀球技术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6、吊、杀上网战术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7、过渡球战术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8、防守反攻战术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单打基本战术打法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教学要点：1、控制后场，高球压底线战术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2、打四角球，高短结合战术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3、下压为主，控制网前战术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4、快拉快吊，前后结合战术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5、守中反攻，攻守兼备战术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双打基本战术和打法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双打基本战术</w:t>
      </w:r>
    </w:p>
    <w:p>
      <w:pPr>
        <w:snapToGrid w:val="0"/>
        <w:ind w:left="2373" w:leftChars="480" w:hanging="1365" w:hangingChars="65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教学要点：1、发球战术（发球站位、发球路线、发球时间的变化、发球时心理的影响）</w:t>
      </w:r>
    </w:p>
    <w:p>
      <w:pPr>
        <w:snapToGrid w:val="0"/>
        <w:ind w:left="2373" w:leftChars="480" w:hanging="1365" w:hangingChars="65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2、接发球战术（接发内角位网前球、接发外角位后场球、</w:t>
      </w:r>
      <w:r>
        <w:rPr>
          <w:rFonts w:hint="eastAsia" w:ascii="宋体" w:hAnsi="宋体" w:eastAsia="宋体" w:cs="宋体"/>
          <w:bCs/>
          <w:szCs w:val="21"/>
          <w:lang w:val="zh-CN"/>
        </w:rPr>
        <w:t>接发内角、外角位后场球</w:t>
      </w:r>
    </w:p>
    <w:p>
      <w:pPr>
        <w:ind w:left="2329" w:leftChars="209" w:hanging="1890" w:hangingChars="900"/>
        <w:rPr>
          <w:rFonts w:ascii="宋体" w:hAnsi="宋体" w:eastAsia="宋体" w:cs="宋体"/>
          <w:bCs/>
          <w:szCs w:val="21"/>
          <w:lang w:val="zh-CN"/>
        </w:rPr>
      </w:pPr>
      <w:r>
        <w:rPr>
          <w:rFonts w:hint="eastAsia" w:ascii="宋体" w:hAnsi="宋体" w:eastAsia="宋体"/>
        </w:rPr>
        <w:t xml:space="preserve">               3、</w:t>
      </w:r>
      <w:r>
        <w:rPr>
          <w:rFonts w:hint="eastAsia" w:ascii="宋体" w:hAnsi="宋体" w:eastAsia="宋体" w:cs="宋体"/>
          <w:bCs/>
          <w:szCs w:val="21"/>
          <w:lang w:val="zh-CN"/>
        </w:rPr>
        <w:t>攻人战术</w:t>
      </w:r>
    </w:p>
    <w:p>
      <w:pPr>
        <w:snapToGrid w:val="0"/>
        <w:ind w:left="2478" w:leftChars="480" w:hanging="1470" w:hangingChars="700"/>
        <w:rPr>
          <w:rFonts w:ascii="宋体" w:hAnsi="宋体" w:eastAsia="宋体" w:cs="宋体"/>
          <w:bCs/>
          <w:szCs w:val="21"/>
          <w:lang w:val="zh-CN"/>
        </w:rPr>
      </w:pPr>
      <w:r>
        <w:rPr>
          <w:rFonts w:hint="eastAsia" w:ascii="宋体" w:hAnsi="宋体" w:eastAsia="宋体"/>
        </w:rPr>
        <w:t xml:space="preserve">          4、攻中路战术</w:t>
      </w:r>
      <w:r>
        <w:rPr>
          <w:rFonts w:hint="eastAsia" w:ascii="宋体" w:hAnsi="宋体" w:eastAsia="宋体" w:cs="宋体"/>
          <w:bCs/>
          <w:szCs w:val="21"/>
          <w:lang w:val="zh-CN"/>
        </w:rPr>
        <w:t>（守方左右站位时把球打在俩人的中间、守方前后站位时把球下压或轻推在边线半场处）</w:t>
      </w:r>
    </w:p>
    <w:p>
      <w:pPr>
        <w:snapToGrid w:val="0"/>
        <w:ind w:left="2478" w:leftChars="480" w:hanging="1470" w:hangingChars="700"/>
        <w:rPr>
          <w:rFonts w:ascii="宋体" w:hAnsi="宋体" w:eastAsia="宋体" w:cs="宋体"/>
          <w:bCs/>
          <w:szCs w:val="21"/>
          <w:lang w:val="zh-CN"/>
        </w:rPr>
      </w:pPr>
      <w:r>
        <w:rPr>
          <w:rFonts w:hint="eastAsia" w:ascii="宋体" w:hAnsi="宋体" w:eastAsia="宋体" w:cs="宋体"/>
          <w:bCs/>
          <w:szCs w:val="21"/>
          <w:lang w:val="zh-CN"/>
        </w:rPr>
        <w:t xml:space="preserve">           5、攻后场战术</w:t>
      </w:r>
    </w:p>
    <w:p>
      <w:pPr>
        <w:snapToGrid w:val="0"/>
        <w:ind w:left="2478" w:leftChars="480" w:hanging="1470" w:hangingChars="700"/>
        <w:rPr>
          <w:rFonts w:ascii="宋体" w:hAnsi="宋体" w:eastAsia="宋体" w:cs="宋体"/>
          <w:bCs/>
          <w:szCs w:val="21"/>
          <w:lang w:val="zh-CN"/>
        </w:rPr>
      </w:pPr>
      <w:r>
        <w:rPr>
          <w:rFonts w:hint="eastAsia" w:ascii="宋体" w:hAnsi="宋体" w:eastAsia="宋体" w:cs="宋体"/>
          <w:bCs/>
          <w:szCs w:val="21"/>
          <w:lang w:val="zh-CN"/>
        </w:rPr>
        <w:t xml:space="preserve">           6、后攻前封战术</w:t>
      </w:r>
    </w:p>
    <w:p>
      <w:pPr>
        <w:snapToGrid w:val="0"/>
        <w:ind w:left="2478" w:leftChars="480" w:hanging="1470" w:hangingChars="700"/>
        <w:rPr>
          <w:rFonts w:ascii="宋体" w:hAnsi="宋体" w:eastAsia="宋体" w:cs="宋体"/>
          <w:bCs/>
          <w:szCs w:val="21"/>
          <w:lang w:val="zh-CN"/>
        </w:rPr>
      </w:pPr>
      <w:r>
        <w:rPr>
          <w:rFonts w:hint="eastAsia" w:ascii="宋体" w:hAnsi="宋体" w:eastAsia="宋体" w:cs="宋体"/>
          <w:bCs/>
          <w:szCs w:val="21"/>
          <w:lang w:val="zh-CN"/>
        </w:rPr>
        <w:t xml:space="preserve">           7、防守战术（调整站位、防守球）</w:t>
      </w:r>
    </w:p>
    <w:p>
      <w:pPr>
        <w:snapToGrid w:val="0"/>
        <w:ind w:left="2478" w:leftChars="480" w:hanging="1470" w:hangingChars="700"/>
        <w:rPr>
          <w:rFonts w:ascii="宋体" w:hAnsi="宋体" w:eastAsia="宋体" w:cs="宋体"/>
          <w:bCs/>
          <w:szCs w:val="21"/>
          <w:lang w:val="zh-CN"/>
        </w:rPr>
      </w:pPr>
      <w:r>
        <w:rPr>
          <w:rFonts w:hint="eastAsia" w:ascii="宋体" w:hAnsi="宋体" w:eastAsia="宋体" w:cs="宋体"/>
          <w:bCs/>
          <w:szCs w:val="21"/>
          <w:lang w:val="zh-CN"/>
        </w:rPr>
        <w:t>双打基本打法</w:t>
      </w:r>
    </w:p>
    <w:p>
      <w:pPr>
        <w:snapToGrid w:val="0"/>
        <w:ind w:left="2478" w:leftChars="480" w:hanging="1470" w:hangingChars="700"/>
        <w:rPr>
          <w:rFonts w:ascii="宋体" w:hAnsi="宋体" w:eastAsia="宋体" w:cs="宋体"/>
          <w:bCs/>
          <w:szCs w:val="21"/>
          <w:lang w:val="zh-CN"/>
        </w:rPr>
      </w:pPr>
      <w:r>
        <w:rPr>
          <w:rFonts w:hint="eastAsia" w:ascii="宋体" w:hAnsi="宋体" w:eastAsia="宋体" w:cs="宋体"/>
          <w:bCs/>
          <w:szCs w:val="21"/>
          <w:lang w:val="zh-CN"/>
        </w:rPr>
        <w:t>教学要点：1、前后站位打法</w:t>
      </w:r>
    </w:p>
    <w:p>
      <w:pPr>
        <w:snapToGrid w:val="0"/>
        <w:ind w:left="2478" w:leftChars="480" w:hanging="1470" w:hangingChars="700"/>
        <w:rPr>
          <w:rFonts w:ascii="宋体" w:hAnsi="宋体" w:eastAsia="宋体" w:cs="宋体"/>
          <w:bCs/>
          <w:szCs w:val="21"/>
          <w:lang w:val="zh-CN"/>
        </w:rPr>
      </w:pPr>
      <w:r>
        <w:rPr>
          <w:rFonts w:hint="eastAsia" w:ascii="宋体" w:hAnsi="宋体" w:eastAsia="宋体" w:cs="宋体"/>
          <w:bCs/>
          <w:szCs w:val="21"/>
          <w:lang w:val="zh-CN"/>
        </w:rPr>
        <w:t xml:space="preserve">          2、左右站位打法</w:t>
      </w:r>
    </w:p>
    <w:p>
      <w:pPr>
        <w:snapToGrid w:val="0"/>
        <w:ind w:left="2478" w:leftChars="480" w:hanging="1470" w:hangingChars="700"/>
        <w:rPr>
          <w:rFonts w:ascii="宋体" w:hAnsi="宋体" w:eastAsia="宋体" w:cs="宋体"/>
          <w:bCs/>
          <w:szCs w:val="21"/>
          <w:lang w:val="zh-CN"/>
        </w:rPr>
      </w:pPr>
      <w:r>
        <w:rPr>
          <w:rFonts w:hint="eastAsia" w:ascii="宋体" w:hAnsi="宋体" w:eastAsia="宋体" w:cs="宋体"/>
          <w:bCs/>
          <w:szCs w:val="21"/>
          <w:lang w:val="zh-CN"/>
        </w:rPr>
        <w:t xml:space="preserve">          3、轮换站位打法</w:t>
      </w:r>
    </w:p>
    <w:p>
      <w:pPr>
        <w:snapToGrid w:val="0"/>
        <w:ind w:left="2478" w:leftChars="480" w:hanging="1470" w:hangingChars="700"/>
        <w:rPr>
          <w:rFonts w:ascii="宋体" w:hAnsi="宋体" w:eastAsia="宋体"/>
        </w:rPr>
      </w:pPr>
      <w:r>
        <w:rPr>
          <w:rFonts w:hint="eastAsia" w:ascii="宋体" w:hAnsi="宋体" w:eastAsia="宋体" w:cs="宋体"/>
          <w:bCs/>
          <w:szCs w:val="21"/>
          <w:lang w:val="zh-CN"/>
        </w:rPr>
        <w:t xml:space="preserve">          4、防守打法（选位、手法、击</w:t>
      </w:r>
      <w:r>
        <w:rPr>
          <w:rFonts w:hint="eastAsia" w:ascii="宋体" w:hAnsi="宋体" w:eastAsia="宋体"/>
        </w:rPr>
        <w:t>球、要点</w:t>
      </w:r>
      <w:r>
        <w:rPr>
          <w:rFonts w:hint="eastAsia" w:ascii="宋体" w:hAnsi="宋体" w:eastAsia="宋体" w:cs="宋体"/>
          <w:bCs/>
          <w:szCs w:val="21"/>
          <w:lang w:val="zh-CN"/>
        </w:rPr>
        <w:t>）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混合双打基本战术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教学要点：1、发球战术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2、攻女方战术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3、前封后攻战术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第四章羽毛球规则裁判法分析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（小四号黑体）</w:t>
      </w:r>
    </w:p>
    <w:p>
      <w:pPr>
        <w:numPr>
          <w:ilvl w:val="0"/>
          <w:numId w:val="2"/>
        </w:numPr>
        <w:autoSpaceDE w:val="0"/>
        <w:autoSpaceDN w:val="0"/>
        <w:adjustRightInd w:val="0"/>
        <w:snapToGrid w:val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比赛的基本规则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教学要点：1、场地设备器材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2、羽毛球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3、球速的检验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4、羽毛球拍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5、挑边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6、计分方法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7、交换场区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8、单打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9、双打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10、发球区错误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11、合法发球和合法接球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12、发球违例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13、发球时的其他违例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14、比赛进行中的违例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15、重发球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16、死球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17、比赛的连续性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18、行为不端及其处罚</w:t>
      </w:r>
    </w:p>
    <w:p>
      <w:pPr>
        <w:snapToGrid w:val="0"/>
        <w:ind w:left="96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19、裁判人员的工作与受理申诉</w:t>
      </w:r>
    </w:p>
    <w:p>
      <w:pPr>
        <w:snapToGrid w:val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第二节   裁判工作人员的工作职责与裁判方法</w:t>
      </w:r>
    </w:p>
    <w:p>
      <w:pPr>
        <w:snapToGrid w:val="0"/>
        <w:ind w:left="2358" w:leftChars="473" w:hanging="1365" w:hangingChars="65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教学要点：1、发球违例的判罚（过腰、过手、踩线、脚离地、假动作、延误发球等）</w:t>
      </w:r>
    </w:p>
    <w:p>
      <w:pPr>
        <w:ind w:firstLine="1047" w:firstLineChars="499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2、裁判长的职责</w:t>
      </w:r>
    </w:p>
    <w:p>
      <w:pPr>
        <w:ind w:left="2365" w:leftChars="576" w:hanging="1155" w:hangingChars="55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3、裁判员的职责（宣报比赛开始、比赛中的宣报、进场前的工作、比赛开始前的工作、比赛中的工作、比赛结束后的工作、记分方法、发球期的工作、死球期的工作、裁判员的手势）</w:t>
      </w:r>
    </w:p>
    <w:p>
      <w:pPr>
        <w:ind w:left="2360" w:leftChars="524" w:hanging="1260" w:hangingChars="6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4、发球裁判员的职责（发球裁判员的视角、宣报时间、手势、严格控制发球违例、执行换球）</w:t>
      </w:r>
    </w:p>
    <w:p>
      <w:pPr>
        <w:ind w:firstLine="1047" w:firstLineChars="499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5、司线员的职责（报告是否出界、手势）</w:t>
      </w:r>
    </w:p>
    <w:p>
      <w:pPr>
        <w:ind w:firstLine="1047" w:firstLineChars="499"/>
        <w:rPr>
          <w:rFonts w:ascii="宋体" w:hAnsi="宋体" w:eastAsia="宋体"/>
        </w:rPr>
      </w:pPr>
    </w:p>
    <w:p>
      <w:pPr>
        <w:ind w:firstLine="1047" w:firstLineChars="499"/>
        <w:rPr>
          <w:rFonts w:ascii="宋体" w:hAnsi="宋体" w:eastAsia="宋体"/>
        </w:rPr>
      </w:pPr>
    </w:p>
    <w:p>
      <w:pPr>
        <w:ind w:firstLine="1047" w:firstLineChars="499"/>
        <w:rPr>
          <w:rFonts w:ascii="宋体" w:hAnsi="宋体" w:eastAsia="宋体"/>
        </w:rPr>
      </w:pPr>
    </w:p>
    <w:p>
      <w:pPr>
        <w:ind w:firstLine="1047" w:firstLineChars="499"/>
        <w:rPr>
          <w:rFonts w:ascii="宋体" w:hAnsi="宋体" w:eastAsia="宋体"/>
        </w:rPr>
      </w:pPr>
    </w:p>
    <w:p>
      <w:pPr>
        <w:ind w:firstLine="1202" w:firstLineChars="499"/>
        <w:rPr>
          <w:rFonts w:ascii="宋体" w:hAnsi="宋体" w:eastAsia="宋体" w:cs="宋体"/>
          <w:b/>
          <w:sz w:val="24"/>
          <w:szCs w:val="24"/>
          <w:lang w:val="zh-CN"/>
        </w:rPr>
      </w:pPr>
    </w:p>
    <w:p>
      <w:pPr>
        <w:snapToGrid w:val="0"/>
        <w:ind w:left="1260" w:hanging="1260" w:hangingChars="600"/>
        <w:rPr>
          <w:rFonts w:ascii="宋体" w:hAnsi="宋体" w:eastAsia="宋体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  <w:r>
        <w:rPr>
          <w:rFonts w:hint="eastAsia" w:ascii="宋体" w:hAnsi="宋体" w:eastAsia="宋体"/>
          <w:szCs w:val="21"/>
        </w:rPr>
        <w:t>（四号黑体）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Times New Roman" w:hAnsi="Times New Roman" w:eastAsia="黑体"/>
                <w:b/>
              </w:rPr>
              <w:t>羽毛球运动概述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黑体" w:hAnsi="Times New Roman" w:eastAsia="黑体"/>
                <w:b/>
              </w:rPr>
              <w:t>羽毛球基本技术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黑体" w:hAnsi="Times New Roman" w:eastAsia="黑体"/>
                <w:b/>
              </w:rPr>
              <w:t>羽毛球基本战术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黑体" w:hAnsi="Times New Roman" w:eastAsia="黑体"/>
                <w:b/>
              </w:rPr>
              <w:t>羽毛球规则裁判法分析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理论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理论知识学习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-</w:t>
            </w: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技术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基本技术学习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Merge w:val="restart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12-13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战术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基本战术学习</w:t>
            </w:r>
          </w:p>
        </w:tc>
        <w:tc>
          <w:tcPr>
            <w:tcW w:w="1145" w:type="dxa"/>
            <w:vMerge w:val="restart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Merge w:val="continue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裁判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裁判理论实践</w:t>
            </w:r>
          </w:p>
        </w:tc>
        <w:tc>
          <w:tcPr>
            <w:tcW w:w="1145" w:type="dxa"/>
            <w:vMerge w:val="continue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15-16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考核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机动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</w:p>
    <w:p>
      <w:pPr>
        <w:widowControl/>
        <w:spacing w:beforeLines="50" w:afterLines="50"/>
        <w:ind w:firstLine="562" w:firstLineChars="200"/>
        <w:jc w:val="left"/>
      </w:pPr>
      <w:bookmarkStart w:id="0" w:name="_GoBack"/>
      <w:bookmarkEnd w:id="0"/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  <w:r>
        <w:rPr>
          <w:rFonts w:hint="eastAsia" w:ascii="宋体" w:hAnsi="宋体" w:eastAsia="宋体"/>
        </w:rPr>
        <w:t>（四号黑体）</w:t>
      </w:r>
    </w:p>
    <w:p>
      <w:pPr>
        <w:spacing w:beforeLines="50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1.施志社王家宏编著《怎样打羽毛球》苏州大学出版社，2006年</w:t>
      </w:r>
    </w:p>
    <w:p>
      <w:pPr>
        <w:spacing w:beforeLines="50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2.肖杰《羽毛球运动理论与实践》人民体育出版社，2017年</w:t>
      </w:r>
    </w:p>
    <w:p>
      <w:pPr>
        <w:spacing w:beforeLines="50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3.国家体育总局职业技能鉴定知道中心《羽毛球.初级》高等教育出版社，2018年</w:t>
      </w:r>
    </w:p>
    <w:p>
      <w:pPr>
        <w:widowControl/>
        <w:spacing w:beforeLines="50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4.《羽毛球竞赛规则》中国羽毛球协会审定（最近版本）</w:t>
      </w:r>
    </w:p>
    <w:p>
      <w:pPr>
        <w:widowControl/>
        <w:spacing w:beforeLines="50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 w:cs="宋体"/>
          <w:szCs w:val="21"/>
        </w:rPr>
        <w:t>讲授法：通过讲授本课程的基本概念与基本原理，帮助学生了解并掌握羽毛球运动概述、羽毛球技术、羽毛球战术、竞赛组织、教学教法等相关知识。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 w:cs="宋体"/>
          <w:szCs w:val="21"/>
        </w:rPr>
        <w:t>演示法：通过课堂，由教师展示技术动作、模拟羽毛球比赛及技战术在比赛中的运用，依据程序教学的方法步骤分解课堂教学步骤并进行设计、展示。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3.观摩法：组织学生现场观摩或视频观摩羽毛球技、战术和羽毛球比赛。</w:t>
      </w: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  <w:r>
        <w:rPr>
          <w:rFonts w:hint="eastAsia" w:ascii="宋体" w:hAnsi="宋体" w:eastAsia="宋体"/>
          <w:szCs w:val="21"/>
        </w:rPr>
        <w:t>（小四号黑体）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考勤、学习态度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正手发高远球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达标+技评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正手击高远球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达标+技评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  <w:r>
        <w:rPr>
          <w:rFonts w:hint="eastAsia" w:ascii="宋体" w:hAnsi="宋体" w:eastAsia="宋体"/>
          <w:szCs w:val="21"/>
        </w:rPr>
        <w:t>（小四号黑体）</w:t>
      </w:r>
    </w:p>
    <w:p>
      <w:pPr>
        <w:widowControl/>
        <w:spacing w:beforeLines="50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  <w:r>
        <w:rPr>
          <w:rFonts w:hint="eastAsia" w:ascii="宋体" w:hAnsi="宋体" w:eastAsia="宋体"/>
        </w:rPr>
        <w:t>（五号宋体）</w:t>
      </w:r>
    </w:p>
    <w:p>
      <w:pPr>
        <w:widowControl/>
        <w:spacing w:beforeLines="50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平时成绩：5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，期中考试：0</w:t>
      </w:r>
      <w:r>
        <w:rPr>
          <w:rFonts w:ascii="宋体" w:hAnsi="宋体" w:eastAsia="宋体"/>
        </w:rPr>
        <w:t>%</w:t>
      </w:r>
      <w:r>
        <w:rPr>
          <w:rFonts w:hint="eastAsia" w:ascii="宋体" w:hAnsi="宋体" w:eastAsia="宋体"/>
        </w:rPr>
        <w:t>，期末考试5</w:t>
      </w:r>
      <w:r>
        <w:rPr>
          <w:rFonts w:ascii="宋体" w:hAnsi="宋体" w:eastAsia="宋体"/>
        </w:rPr>
        <w:t>0%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  <w:r>
        <w:rPr>
          <w:rFonts w:hint="eastAsia" w:ascii="宋体" w:hAnsi="宋体" w:eastAsia="宋体"/>
        </w:rPr>
        <w:t>（五号宋体）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  <w:r>
        <w:rPr>
          <w:rFonts w:hint="eastAsia" w:ascii="宋体" w:hAnsi="宋体" w:eastAsia="宋体"/>
        </w:rPr>
        <w:t>（五号宋体）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Lines="50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……（五号宋体）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  <w:r>
        <w:rPr>
          <w:rFonts w:hint="eastAsia" w:ascii="宋体" w:hAnsi="宋体" w:eastAsia="宋体"/>
          <w:szCs w:val="21"/>
        </w:rPr>
        <w:t>（小四号黑体）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发高远 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持续正确，挥拍放松，手腕闪动发力正确，击球点好，“鞭打”动作明显，随挥动作完整，球的落点准确。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持球正确，挥拍较放松，手腕闪动发力较好，击球点较好，“鞭打”动作较明显，随挥动作完整，球的落点准确。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持球较正确，挥拍基本放松，手腕闪动发力尚可，击球点不准，“鞭打”动作较好，随挥动作不太连贯，球的落点不准确。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可用不规范动作将球击到目标区域。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大部分技术动作错误，发球失误很多。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击高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远球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准备动作充分，引拍姿势正确，挥拍击球动作协调，小臂与手腕的“鞭打”动作明显，击球点高，随挥动作完整，击出的球高而远。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准备动作较充分，引拍姿势基本正确，挥拍击球动作较协调，小臂与手腕的“鞭打”动作明显，击球点高，随挥动作较完整，击出的球高而远。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准备动作尚可，引拍姿势基本正确，挥拍击球动作不协调，小臂与手腕的“鞭打”动作不明显，击球点低，随挥动作较完整，击出的球达不到要求。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可用不规范动作将球击到目标区域。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大部分技术动作错误，发球失误很多。</w:t>
            </w:r>
          </w:p>
        </w:tc>
      </w:tr>
    </w:tbl>
    <w:p>
      <w:pPr>
        <w:widowControl/>
        <w:jc w:val="left"/>
        <w:rPr>
          <w:rFonts w:hint="eastAsia" w:ascii="宋体" w:hAnsi="宋体" w:eastAsia="宋体"/>
        </w:rPr>
      </w:pPr>
    </w:p>
    <w:p>
      <w:pPr>
        <w:widowControl/>
        <w:jc w:val="left"/>
        <w:rPr>
          <w:rFonts w:hint="eastAsia" w:ascii="宋体" w:hAnsi="宋体" w:eastAsia="宋体"/>
        </w:rPr>
      </w:pPr>
    </w:p>
    <w:p>
      <w:pPr>
        <w:widowControl/>
        <w:jc w:val="left"/>
        <w:rPr>
          <w:rFonts w:hint="eastAsia" w:ascii="宋体" w:hAnsi="宋体" w:eastAsia="宋体"/>
        </w:rPr>
      </w:pPr>
    </w:p>
    <w:p>
      <w:pPr>
        <w:widowControl/>
        <w:jc w:val="left"/>
        <w:rPr>
          <w:rFonts w:hint="eastAsia" w:ascii="宋体" w:hAnsi="宋体" w:eastAsia="宋体"/>
        </w:rPr>
      </w:pPr>
    </w:p>
    <w:p>
      <w:pPr>
        <w:widowControl/>
        <w:jc w:val="left"/>
        <w:rPr>
          <w:rFonts w:hint="eastAsia" w:ascii="宋体" w:hAnsi="宋体" w:eastAsia="宋体"/>
        </w:rPr>
      </w:pPr>
    </w:p>
    <w:p>
      <w:pPr>
        <w:widowControl/>
        <w:jc w:val="left"/>
        <w:rPr>
          <w:rFonts w:hint="eastAsia" w:ascii="宋体" w:hAnsi="宋体" w:eastAsia="宋体"/>
        </w:rPr>
      </w:pPr>
    </w:p>
    <w:p>
      <w:pPr>
        <w:widowControl/>
        <w:jc w:val="left"/>
        <w:rPr>
          <w:rFonts w:hint="eastAsia" w:ascii="宋体" w:hAnsi="宋体" w:eastAsia="宋体"/>
        </w:rPr>
      </w:pPr>
    </w:p>
    <w:p>
      <w:pPr>
        <w:widowControl/>
        <w:jc w:val="left"/>
        <w:rPr>
          <w:rFonts w:hint="eastAsia" w:ascii="宋体" w:hAnsi="宋体" w:eastAsia="宋体"/>
        </w:rPr>
      </w:pPr>
    </w:p>
    <w:p>
      <w:pPr>
        <w:widowControl/>
        <w:jc w:val="left"/>
        <w:rPr>
          <w:rFonts w:hint="eastAsia" w:ascii="宋体" w:hAnsi="宋体" w:eastAsia="宋体"/>
        </w:rPr>
      </w:pPr>
    </w:p>
    <w:p>
      <w:pPr>
        <w:ind w:left="420"/>
      </w:pPr>
      <w:r>
        <w:rPr>
          <w:rFonts w:hint="eastAsia"/>
        </w:rPr>
        <w:t>（一）考试项目及分配比例</w:t>
      </w:r>
    </w:p>
    <w:p>
      <w:pPr>
        <w:ind w:left="1305"/>
      </w:pPr>
      <w:r>
        <w:rPr>
          <w:rFonts w:hint="eastAsia"/>
        </w:rPr>
        <w:t xml:space="preserve">考试项目由技术考核（技评50%、达标50%）、平时表现两部分组成，技术考核部分各占总成绩60%，平时表现部分占总成绩的40% 。         </w:t>
      </w:r>
    </w:p>
    <w:p>
      <w:pPr>
        <w:ind w:left="420"/>
      </w:pPr>
      <w:r>
        <w:rPr>
          <w:rFonts w:hint="eastAsia"/>
        </w:rPr>
        <w:t>（二）考试内容及方法</w:t>
      </w:r>
    </w:p>
    <w:p>
      <w:pPr>
        <w:tabs>
          <w:tab w:val="right" w:pos="8306"/>
        </w:tabs>
        <w:ind w:firstLine="1260" w:firstLineChars="600"/>
      </w:pPr>
      <w:r>
        <w:rPr>
          <w:rFonts w:hint="eastAsia"/>
        </w:rPr>
        <w:t>1、由正手发高远球、正手击高远球两项技术组成。</w:t>
      </w:r>
    </w:p>
    <w:p>
      <w:pPr>
        <w:tabs>
          <w:tab w:val="right" w:pos="8306"/>
        </w:tabs>
        <w:ind w:firstLine="1260" w:firstLineChars="600"/>
      </w:pPr>
      <w:r>
        <w:rPr>
          <w:rFonts w:hint="eastAsia"/>
        </w:rPr>
        <w:t>2、平时表现</w:t>
      </w:r>
    </w:p>
    <w:p>
      <w:pPr>
        <w:ind w:left="2623" w:leftChars="599" w:hanging="1365" w:hangingChars="650"/>
      </w:pPr>
      <w:r>
        <w:rPr>
          <w:rFonts w:hint="eastAsia"/>
        </w:rPr>
        <w:t xml:space="preserve"> 出勤情况：按照学校考勤要求进行考勤（缺课一次扣5分）。</w:t>
      </w:r>
    </w:p>
    <w:p>
      <w:pPr>
        <w:spacing w:line="440" w:lineRule="exact"/>
        <w:ind w:firstLine="2310" w:firstLineChars="1100"/>
        <w:rPr>
          <w:rFonts w:hAnsi="宋体" w:cs="宋体"/>
          <w:szCs w:val="21"/>
        </w:rPr>
      </w:pPr>
      <w:r>
        <w:rPr>
          <w:rFonts w:hint="eastAsia" w:hAnsi="宋体"/>
          <w:bCs/>
          <w:szCs w:val="21"/>
        </w:rPr>
        <w:t>技术达标评分标准表</w:t>
      </w:r>
      <w:r>
        <w:rPr>
          <w:rFonts w:hint="eastAsia" w:hAnsi="宋体" w:cs="宋体"/>
          <w:szCs w:val="21"/>
        </w:rPr>
        <w:t>，满分100分</w:t>
      </w:r>
    </w:p>
    <w:tbl>
      <w:tblPr>
        <w:tblStyle w:val="7"/>
        <w:tblW w:w="815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8"/>
        <w:gridCol w:w="705"/>
        <w:gridCol w:w="692"/>
        <w:gridCol w:w="663"/>
        <w:gridCol w:w="675"/>
        <w:gridCol w:w="663"/>
        <w:gridCol w:w="662"/>
        <w:gridCol w:w="662"/>
        <w:gridCol w:w="663"/>
        <w:gridCol w:w="673"/>
        <w:gridCol w:w="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成绩 （个）</w:t>
            </w:r>
          </w:p>
        </w:tc>
        <w:tc>
          <w:tcPr>
            <w:tcW w:w="705" w:type="dxa"/>
          </w:tcPr>
          <w:p>
            <w:pPr>
              <w:spacing w:line="440" w:lineRule="exact"/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10</w:t>
            </w:r>
          </w:p>
        </w:tc>
        <w:tc>
          <w:tcPr>
            <w:tcW w:w="692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9</w:t>
            </w:r>
          </w:p>
        </w:tc>
        <w:tc>
          <w:tcPr>
            <w:tcW w:w="663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8</w:t>
            </w:r>
          </w:p>
        </w:tc>
        <w:tc>
          <w:tcPr>
            <w:tcW w:w="675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7</w:t>
            </w:r>
          </w:p>
        </w:tc>
        <w:tc>
          <w:tcPr>
            <w:tcW w:w="663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6</w:t>
            </w:r>
          </w:p>
        </w:tc>
        <w:tc>
          <w:tcPr>
            <w:tcW w:w="662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5</w:t>
            </w:r>
          </w:p>
        </w:tc>
        <w:tc>
          <w:tcPr>
            <w:tcW w:w="662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4</w:t>
            </w:r>
          </w:p>
        </w:tc>
        <w:tc>
          <w:tcPr>
            <w:tcW w:w="663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</w:p>
        </w:tc>
        <w:tc>
          <w:tcPr>
            <w:tcW w:w="673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</w:t>
            </w:r>
          </w:p>
        </w:tc>
        <w:tc>
          <w:tcPr>
            <w:tcW w:w="662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分值（ 分）</w:t>
            </w:r>
          </w:p>
        </w:tc>
        <w:tc>
          <w:tcPr>
            <w:tcW w:w="705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100</w:t>
            </w:r>
          </w:p>
        </w:tc>
        <w:tc>
          <w:tcPr>
            <w:tcW w:w="692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90</w:t>
            </w:r>
          </w:p>
        </w:tc>
        <w:tc>
          <w:tcPr>
            <w:tcW w:w="663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80</w:t>
            </w:r>
          </w:p>
        </w:tc>
        <w:tc>
          <w:tcPr>
            <w:tcW w:w="675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70</w:t>
            </w:r>
          </w:p>
        </w:tc>
        <w:tc>
          <w:tcPr>
            <w:tcW w:w="663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60</w:t>
            </w:r>
          </w:p>
        </w:tc>
        <w:tc>
          <w:tcPr>
            <w:tcW w:w="662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50</w:t>
            </w:r>
          </w:p>
        </w:tc>
        <w:tc>
          <w:tcPr>
            <w:tcW w:w="662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40</w:t>
            </w:r>
          </w:p>
        </w:tc>
        <w:tc>
          <w:tcPr>
            <w:tcW w:w="663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30</w:t>
            </w:r>
          </w:p>
        </w:tc>
        <w:tc>
          <w:tcPr>
            <w:tcW w:w="673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20</w:t>
            </w:r>
          </w:p>
        </w:tc>
        <w:tc>
          <w:tcPr>
            <w:tcW w:w="662" w:type="dxa"/>
          </w:tcPr>
          <w:p>
            <w:pPr>
              <w:spacing w:line="440" w:lineRule="exac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10</w:t>
            </w:r>
          </w:p>
        </w:tc>
      </w:tr>
    </w:tbl>
    <w:p>
      <w:pPr>
        <w:tabs>
          <w:tab w:val="left" w:pos="2415"/>
        </w:tabs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一、正手发高远球：</w:t>
      </w:r>
    </w:p>
    <w:p>
      <w:pPr>
        <w:ind w:firstLine="420" w:firstLineChars="200"/>
      </w:pPr>
      <w:r>
        <w:rPr>
          <w:rFonts w:hint="eastAsia"/>
        </w:rPr>
        <w:t>每个考生发</w:t>
      </w:r>
      <w:r>
        <w:t>12</w:t>
      </w:r>
      <w:r>
        <w:rPr>
          <w:rFonts w:hint="eastAsia"/>
        </w:rPr>
        <w:t>次球，前</w:t>
      </w:r>
      <w:r>
        <w:t>2</w:t>
      </w:r>
      <w:r>
        <w:rPr>
          <w:rFonts w:hint="eastAsia"/>
        </w:rPr>
        <w:t>个球为练习，不计成绩。从第三个球开始连续发</w:t>
      </w:r>
      <w:r>
        <w:t>10</w:t>
      </w:r>
      <w:r>
        <w:rPr>
          <w:rFonts w:hint="eastAsia"/>
        </w:rPr>
        <w:t>个球（依次从右至左区或从左至右各连续发球</w:t>
      </w:r>
      <w:r>
        <w:t>5</w:t>
      </w:r>
      <w:r>
        <w:rPr>
          <w:rFonts w:hint="eastAsia"/>
        </w:rPr>
        <w:t>次）。按要求发进有效发球区域一个球得</w:t>
      </w:r>
      <w:r>
        <w:t>10</w:t>
      </w:r>
      <w:r>
        <w:rPr>
          <w:rFonts w:hint="eastAsia"/>
        </w:rPr>
        <w:t>分，满分为</w:t>
      </w:r>
      <w:r>
        <w:t>100</w:t>
      </w:r>
      <w:r>
        <w:rPr>
          <w:rFonts w:hint="eastAsia"/>
        </w:rPr>
        <w:t>分</w:t>
      </w:r>
    </w:p>
    <w:p>
      <w:pPr>
        <w:ind w:firstLine="2311" w:firstLineChars="1100"/>
        <w:rPr>
          <w:rFonts w:hAnsi="宋体"/>
          <w:szCs w:val="21"/>
        </w:rPr>
      </w:pPr>
      <w:r>
        <w:rPr>
          <w:rFonts w:hint="eastAsia" w:hAnsi="宋体"/>
          <w:b/>
          <w:szCs w:val="21"/>
        </w:rPr>
        <w:t>正手发高远球技术</w:t>
      </w:r>
      <w:r>
        <w:rPr>
          <w:rFonts w:hint="eastAsia" w:hAnsi="宋体"/>
          <w:szCs w:val="21"/>
        </w:rPr>
        <w:t>（见图1 ）</w:t>
      </w:r>
    </w:p>
    <w:p>
      <w:pPr>
        <w:ind w:firstLine="630" w:firstLineChars="300"/>
        <w:rPr>
          <w:rFonts w:hAnsi="宋体"/>
          <w:szCs w:val="21"/>
        </w:rPr>
      </w:pPr>
      <w:r>
        <w:rPr>
          <w:rFonts w:hAnsi="宋体"/>
          <w:szCs w:val="21"/>
        </w:rPr>
        <w:pict>
          <v:group id="_x0000_s1041" o:spid="_x0000_s1041" o:spt="203" style="height:204pt;width:342pt;" coordorigin="2884,3578" coordsize="5948,3583" editas="canvas">
            <o:lock v:ext="edit"/>
            <v:shape id="_x0000_s1042" o:spid="_x0000_s1042" o:spt="75" type="#_x0000_t75" style="position:absolute;left:2884;top:3578;height:3583;width:5948;" filled="f" o:preferrelative="f" stroked="f" coordsize="21600,21600">
              <v:fill on="f" focussize="0,0"/>
              <v:stroke on="f" joinstyle="miter"/>
              <v:imagedata o:title=""/>
              <o:lock v:ext="edit" text="t" aspectratio="t"/>
            </v:shape>
            <v:rect id="_x0000_s1043" o:spid="_x0000_s1043" o:spt="1" style="position:absolute;left:3405;top:4210;height:2529;width:4800;" coordsize="21600,21600">
              <v:path/>
              <v:fill focussize="0,0"/>
              <v:stroke weight="1pt"/>
              <v:imagedata o:title=""/>
              <o:lock v:ext="edit"/>
            </v:rect>
            <v:line id="_x0000_s1044" o:spid="_x0000_s1044" o:spt="20" style="position:absolute;left:5805;top:4210;height:2529;width: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45" o:spid="_x0000_s1045" o:spt="20" style="position:absolute;left:5075;top:4210;height:2529;width:0;" coordsize="21600,21600">
              <v:path arrowok="t"/>
              <v:fill focussize="0,0"/>
              <v:stroke/>
              <v:imagedata o:title=""/>
              <o:lock v:ext="edit"/>
            </v:line>
            <v:line id="_x0000_s1046" o:spid="_x0000_s1046" o:spt="20" style="position:absolute;left:6536;top:4210;height:2529;width:1;" coordsize="21600,21600">
              <v:path arrowok="t"/>
              <v:fill focussize="0,0"/>
              <v:stroke/>
              <v:imagedata o:title=""/>
              <o:lock v:ext="edit"/>
            </v:line>
            <v:line id="_x0000_s1047" o:spid="_x0000_s1047" o:spt="20" style="position:absolute;left:3405;top:5475;height:0;width:1670;" coordsize="21600,21600">
              <v:path arrowok="t"/>
              <v:fill focussize="0,0"/>
              <v:stroke/>
              <v:imagedata o:title=""/>
              <o:lock v:ext="edit"/>
            </v:line>
            <v:line id="_x0000_s1048" o:spid="_x0000_s1048" o:spt="20" style="position:absolute;left:6536;top:5475;flip:x;height:0;width:1669;" coordsize="21600,21600">
              <v:path arrowok="t"/>
              <v:fill focussize="0,0"/>
              <v:stroke/>
              <v:imagedata o:title=""/>
              <o:lock v:ext="edit"/>
            </v:line>
            <v:line id="_x0000_s1049" o:spid="_x0000_s1049" o:spt="20" style="position:absolute;left:3719;top:4210;height:2529;width:1;" coordsize="21600,21600">
              <v:path arrowok="t"/>
              <v:fill focussize="0,0"/>
              <v:stroke/>
              <v:imagedata o:title=""/>
              <o:lock v:ext="edit"/>
            </v:line>
            <v:shape id="_x0000_s1050" o:spid="_x0000_s1050" o:spt="96" type="#_x0000_t96" style="position:absolute;left:6954;top:5475;height:316;width:313;" coordsize="21600,21600">
              <v:path/>
              <v:fill focussize="0,0"/>
              <v:stroke/>
              <v:imagedata o:title=""/>
              <o:lock v:ext="edit"/>
            </v:shape>
            <v:shape id="_x0000_s1051" o:spid="_x0000_s1051" style="position:absolute;left:3249;top:3736;height:1634;width:3705;" filled="f" coordsize="4260,1860" path="m4260,1860c2790,990,1320,120,660,60c0,0,150,750,300,1500e">
              <v:path arrowok="t"/>
              <v:fill on="f" focussize="0,0"/>
              <v:stroke dashstyle="dashDot"/>
              <v:imagedata o:title=""/>
              <o:lock v:ext="edit"/>
            </v:shape>
            <w10:wrap type="none"/>
            <w10:anchorlock/>
          </v:group>
        </w:pict>
      </w:r>
    </w:p>
    <w:p>
      <w:pPr>
        <w:ind w:firstLine="630" w:firstLineChars="300"/>
        <w:rPr>
          <w:rFonts w:hAnsi="宋体"/>
          <w:szCs w:val="21"/>
        </w:rPr>
      </w:pPr>
      <w:r>
        <w:rPr>
          <w:rFonts w:hAnsi="宋体"/>
          <w:szCs w:val="21"/>
        </w:rPr>
        <w:pict>
          <v:shape id="_x0000_s1052" o:spid="_x0000_s1052" o:spt="96" type="#_x0000_t96" style="position:absolute;left:0pt;margin-left:258.05pt;margin-top:14.15pt;height:12pt;width:12pt;z-index:251660288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rPr>
          <w:rFonts w:hint="eastAsia" w:hAnsi="宋体"/>
          <w:szCs w:val="21"/>
        </w:rPr>
        <w:t xml:space="preserve">          图1 正手发高远球技术考核示意图（    表示学生）</w:t>
      </w:r>
    </w:p>
    <w:p>
      <w:pPr>
        <w:ind w:firstLine="630" w:firstLineChars="300"/>
        <w:rPr>
          <w:rFonts w:hAnsi="宋体"/>
          <w:szCs w:val="21"/>
        </w:rPr>
      </w:pP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二、正手击高远球：</w:t>
      </w:r>
    </w:p>
    <w:p>
      <w:pPr>
        <w:ind w:firstLine="420" w:firstLineChars="200"/>
        <w:rPr>
          <w:b/>
          <w:sz w:val="24"/>
          <w:szCs w:val="24"/>
        </w:rPr>
      </w:pPr>
      <w:r>
        <w:rPr>
          <w:rFonts w:hint="eastAsia"/>
        </w:rPr>
        <w:t>每个考生击</w:t>
      </w:r>
      <w:r>
        <w:t>12</w:t>
      </w:r>
      <w:r>
        <w:rPr>
          <w:rFonts w:hint="eastAsia"/>
        </w:rPr>
        <w:t>次球，前</w:t>
      </w:r>
      <w:r>
        <w:t>2</w:t>
      </w:r>
      <w:r>
        <w:rPr>
          <w:rFonts w:hint="eastAsia"/>
        </w:rPr>
        <w:t>个球为练习，不计成绩。从第三个球开始连续击</w:t>
      </w:r>
      <w:r>
        <w:t>10</w:t>
      </w:r>
      <w:r>
        <w:rPr>
          <w:rFonts w:hint="eastAsia"/>
        </w:rPr>
        <w:t>个球（依次从右至左区或从左至右各连续击球</w:t>
      </w:r>
      <w:r>
        <w:t>5</w:t>
      </w:r>
      <w:r>
        <w:rPr>
          <w:rFonts w:hint="eastAsia"/>
        </w:rPr>
        <w:t>次）。按要求击至有效发球区域一个球得</w:t>
      </w:r>
      <w:r>
        <w:t>10</w:t>
      </w:r>
      <w:r>
        <w:rPr>
          <w:rFonts w:hint="eastAsia"/>
        </w:rPr>
        <w:t>分，满分为</w:t>
      </w:r>
      <w:r>
        <w:t>100</w:t>
      </w:r>
      <w:r>
        <w:rPr>
          <w:rFonts w:hint="eastAsia"/>
        </w:rPr>
        <w:t>分</w:t>
      </w:r>
    </w:p>
    <w:p>
      <w:pPr>
        <w:ind w:firstLine="2730" w:firstLineChars="1300"/>
        <w:rPr>
          <w:rFonts w:hAnsi="宋体"/>
          <w:szCs w:val="21"/>
        </w:rPr>
      </w:pPr>
      <w:r>
        <w:rPr>
          <w:rFonts w:hint="eastAsia" w:hAnsi="宋体"/>
          <w:szCs w:val="21"/>
        </w:rPr>
        <w:t xml:space="preserve">正手击高远球技术（见图2）   </w:t>
      </w:r>
    </w:p>
    <w:p>
      <w:pPr>
        <w:ind w:firstLine="1155" w:firstLineChars="550"/>
        <w:rPr>
          <w:rFonts w:hAnsi="宋体"/>
          <w:szCs w:val="21"/>
        </w:rPr>
      </w:pPr>
      <w:r>
        <w:rPr>
          <w:rFonts w:hAnsi="宋体"/>
          <w:szCs w:val="21"/>
        </w:rPr>
        <w:pict>
          <v:group id="_x0000_s1026" o:spid="_x0000_s1026" o:spt="203" style="height:204pt;width:342pt;" coordorigin="2884,3578" coordsize="5948,3583" editas="canvas">
            <o:lock v:ext="edit"/>
            <v:shape id="_x0000_s1027" o:spid="_x0000_s1027" o:spt="75" type="#_x0000_t75" style="position:absolute;left:2884;top:3578;height:3583;width:5948;" filled="f" o:preferrelative="f" stroked="f" coordsize="21600,21600">
              <v:fill on="f" focussize="0,0"/>
              <v:stroke on="f" joinstyle="miter"/>
              <v:imagedata o:title=""/>
              <o:lock v:ext="edit" text="t" aspectratio="t"/>
            </v:shape>
            <v:rect id="_x0000_s1028" o:spid="_x0000_s1028" o:spt="1" style="position:absolute;left:3405;top:4210;height:2529;width:4800;" coordsize="21600,21600">
              <v:path/>
              <v:fill focussize="0,0"/>
              <v:stroke weight="1pt"/>
              <v:imagedata o:title=""/>
              <o:lock v:ext="edit"/>
            </v:rect>
            <v:line id="_x0000_s1029" o:spid="_x0000_s1029" o:spt="20" style="position:absolute;left:5805;top:4210;height:2529;width: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30" o:spid="_x0000_s1030" o:spt="20" style="position:absolute;left:5075;top:4210;height:2529;width:0;" coordsize="21600,21600">
              <v:path arrowok="t"/>
              <v:fill focussize="0,0"/>
              <v:stroke/>
              <v:imagedata o:title=""/>
              <o:lock v:ext="edit"/>
            </v:line>
            <v:line id="_x0000_s1031" o:spid="_x0000_s1031" o:spt="20" style="position:absolute;left:6536;top:4210;height:2529;width:1;" coordsize="21600,21600">
              <v:path arrowok="t"/>
              <v:fill focussize="0,0"/>
              <v:stroke/>
              <v:imagedata o:title=""/>
              <o:lock v:ext="edit"/>
            </v:line>
            <v:line id="_x0000_s1032" o:spid="_x0000_s1032" o:spt="20" style="position:absolute;left:3405;top:5475;height:0;width:1670;" coordsize="21600,21600">
              <v:path arrowok="t"/>
              <v:fill focussize="0,0"/>
              <v:stroke/>
              <v:imagedata o:title=""/>
              <o:lock v:ext="edit"/>
            </v:line>
            <v:line id="_x0000_s1033" o:spid="_x0000_s1033" o:spt="20" style="position:absolute;left:6536;top:5475;flip:x;height:0;width:1669;" coordsize="21600,21600">
              <v:path arrowok="t"/>
              <v:fill focussize="0,0"/>
              <v:stroke/>
              <v:imagedata o:title=""/>
              <o:lock v:ext="edit"/>
            </v:line>
            <v:line id="_x0000_s1034" o:spid="_x0000_s1034" o:spt="20" style="position:absolute;left:3719;top:4210;height:2529;width:1;" coordsize="21600,21600">
              <v:path arrowok="t"/>
              <v:fill focussize="0,0"/>
              <v:stroke/>
              <v:imagedata o:title=""/>
              <o:lock v:ext="edit"/>
            </v:line>
            <v:line id="_x0000_s1035" o:spid="_x0000_s1035" o:spt="20" style="position:absolute;left:4032;top:4210;height:2529;width:1;" coordsize="21600,21600">
              <v:path arrowok="t"/>
              <v:fill focussize="0,0"/>
              <v:stroke dashstyle="1 1"/>
              <v:imagedata o:title=""/>
              <o:lock v:ext="edit"/>
            </v:line>
            <v:shape id="_x0000_s1036" o:spid="_x0000_s1036" o:spt="96" type="#_x0000_t96" style="position:absolute;left:7788;top:4948;height:317;width:315;" coordsize="21600,21600">
              <v:path/>
              <v:fill focussize="0,0"/>
              <v:stroke/>
              <v:imagedata o:title=""/>
              <o:lock v:ext="edit"/>
            </v:shape>
            <v:shape id="_x0000_s1037" o:spid="_x0000_s1037" o:spt="5" type="#_x0000_t5" style="position:absolute;left:4449;top:5580;height:316;width:209;" coordsize="21600,21600">
              <v:path/>
              <v:fill focussize="0,0"/>
              <v:stroke joinstyle="miter"/>
              <v:imagedata o:title=""/>
              <o:lock v:ext="edit"/>
            </v:shape>
            <v:shape id="_x0000_s1038" o:spid="_x0000_s1038" style="position:absolute;left:4554;top:3771;height:1915;width:3339;" filled="f" coordsize="3840,2180" path="m0,2180c1080,1510,2160,840,2760,500c3360,160,3420,0,3600,140c3780,280,3800,1140,3840,1340e">
              <v:path arrowok="t"/>
              <v:fill on="f" focussize="0,0"/>
              <v:stroke dashstyle="1 1" endcap="round"/>
              <v:imagedata o:title=""/>
              <o:lock v:ext="edit"/>
            </v:shape>
            <v:shape id="_x0000_s1039" o:spid="_x0000_s1039" style="position:absolute;left:3475;top:3666;height:1387;width:4418;" filled="f" coordsize="5080,1580" path="m5080,1460c3300,730,1520,0,760,20c0,40,580,1320,520,1580e">
              <v:path arrowok="t"/>
              <v:fill on="f" focussize="0,0"/>
              <v:stroke dashstyle="dash"/>
              <v:imagedata o:title=""/>
              <o:lock v:ext="edit"/>
            </v:shape>
            <v:shape id="_x0000_s1040" o:spid="_x0000_s1040" style="position:absolute;left:3168;top:3578;height:1721;width:4800;" filled="f" coordsize="5520,1960" path="m5520,1720c3600,860,1680,0,840,40c0,80,540,1640,480,1960e">
              <v:path arrowok="t"/>
              <v:fill on="f" focussize="0,0"/>
              <v:stroke dashstyle="dash"/>
              <v:imagedata o:title=""/>
              <o:lock v:ext="edit"/>
            </v:shape>
            <w10:wrap type="none"/>
            <w10:anchorlock/>
          </v:group>
        </w:pict>
      </w:r>
    </w:p>
    <w:p>
      <w:pPr>
        <w:rPr>
          <w:rFonts w:ascii="Times New Roman" w:hAnsi="Times New Roman"/>
        </w:rPr>
      </w:pPr>
      <w:r>
        <w:rPr>
          <w:rFonts w:ascii="Tahoma" w:hAnsi="宋体"/>
          <w:szCs w:val="21"/>
        </w:rPr>
        <w:pict>
          <v:shape id="_x0000_s1054" o:spid="_x0000_s1054" o:spt="96" type="#_x0000_t96" style="position:absolute;left:0pt;margin-left:333.75pt;margin-top:14pt;height:12pt;width:12pt;z-index:251662336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rPr>
          <w:rFonts w:ascii="Tahoma" w:hAnsi="宋体"/>
          <w:szCs w:val="21"/>
        </w:rPr>
        <w:pict>
          <v:shape id="_x0000_s1053" o:spid="_x0000_s1053" o:spt="5" type="#_x0000_t5" style="position:absolute;left:0pt;margin-left:255.75pt;margin-top:14pt;height:12pt;width:6pt;z-index:251661312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rPr>
          <w:rFonts w:hint="eastAsia" w:hAnsi="宋体"/>
          <w:szCs w:val="21"/>
        </w:rPr>
        <w:t xml:space="preserve">               图2 正手击高远球技术考核示意图</w:t>
      </w:r>
      <w:r>
        <w:rPr>
          <w:rFonts w:hint="eastAsia" w:ascii="Times New Roman" w:hAnsi="Times New Roman"/>
        </w:rPr>
        <w:t>（    表示教师；     表示学生）</w:t>
      </w:r>
    </w:p>
    <w:p/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037171"/>
    <w:multiLevelType w:val="multilevel"/>
    <w:tmpl w:val="4F037171"/>
    <w:lvl w:ilvl="0" w:tentative="0">
      <w:start w:val="1"/>
      <w:numFmt w:val="japaneseCounting"/>
      <w:lvlText w:val="第%1节"/>
      <w:lvlJc w:val="left"/>
      <w:pPr>
        <w:tabs>
          <w:tab w:val="left" w:pos="960"/>
        </w:tabs>
        <w:ind w:left="960" w:hanging="9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7C016BD"/>
    <w:multiLevelType w:val="multilevel"/>
    <w:tmpl w:val="57C016BD"/>
    <w:lvl w:ilvl="0" w:tentative="0">
      <w:start w:val="1"/>
      <w:numFmt w:val="japaneseCounting"/>
      <w:lvlText w:val="第%1节"/>
      <w:lvlJc w:val="left"/>
      <w:pPr>
        <w:tabs>
          <w:tab w:val="left" w:pos="960"/>
        </w:tabs>
        <w:ind w:left="960" w:hanging="960"/>
      </w:pPr>
      <w:rPr>
        <w:rFonts w:hint="default" w:ascii="宋体" w:hAnsi="宋体" w:eastAsia="宋体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FhM2JjOTA4ZDYwYzcwMTE0MjlkOWU3ZmVjNGU2YzEifQ=="/>
  </w:docVars>
  <w:rsids>
    <w:rsidRoot w:val="001E5724"/>
    <w:rsid w:val="00022CBB"/>
    <w:rsid w:val="00064940"/>
    <w:rsid w:val="00077A5F"/>
    <w:rsid w:val="000F054A"/>
    <w:rsid w:val="000F4EE4"/>
    <w:rsid w:val="0011423C"/>
    <w:rsid w:val="001B007B"/>
    <w:rsid w:val="001E5724"/>
    <w:rsid w:val="00242673"/>
    <w:rsid w:val="00285327"/>
    <w:rsid w:val="002A7568"/>
    <w:rsid w:val="00313A87"/>
    <w:rsid w:val="00322986"/>
    <w:rsid w:val="0034254B"/>
    <w:rsid w:val="003704F0"/>
    <w:rsid w:val="0038665C"/>
    <w:rsid w:val="004070CF"/>
    <w:rsid w:val="005A0378"/>
    <w:rsid w:val="00660E89"/>
    <w:rsid w:val="00665621"/>
    <w:rsid w:val="006917C5"/>
    <w:rsid w:val="006E4F82"/>
    <w:rsid w:val="006F64C9"/>
    <w:rsid w:val="007523EC"/>
    <w:rsid w:val="007639A2"/>
    <w:rsid w:val="007C379D"/>
    <w:rsid w:val="007C62ED"/>
    <w:rsid w:val="007E39E3"/>
    <w:rsid w:val="008128AD"/>
    <w:rsid w:val="008560E2"/>
    <w:rsid w:val="0088298A"/>
    <w:rsid w:val="00886EBF"/>
    <w:rsid w:val="008E2226"/>
    <w:rsid w:val="009C1370"/>
    <w:rsid w:val="00A03BBD"/>
    <w:rsid w:val="00A56B76"/>
    <w:rsid w:val="00A61EFD"/>
    <w:rsid w:val="00AA4570"/>
    <w:rsid w:val="00AA630A"/>
    <w:rsid w:val="00AE3D1A"/>
    <w:rsid w:val="00AF0A44"/>
    <w:rsid w:val="00B03909"/>
    <w:rsid w:val="00B40ECD"/>
    <w:rsid w:val="00BA23F0"/>
    <w:rsid w:val="00BB28EB"/>
    <w:rsid w:val="00BF33A8"/>
    <w:rsid w:val="00C00798"/>
    <w:rsid w:val="00C10AA5"/>
    <w:rsid w:val="00C54636"/>
    <w:rsid w:val="00C718AC"/>
    <w:rsid w:val="00C96831"/>
    <w:rsid w:val="00CA53B2"/>
    <w:rsid w:val="00CC608A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46C31"/>
    <w:rsid w:val="00E76E34"/>
    <w:rsid w:val="00E814E7"/>
    <w:rsid w:val="00ED7F81"/>
    <w:rsid w:val="00F56396"/>
    <w:rsid w:val="00FB77A1"/>
    <w:rsid w:val="00FC24B5"/>
    <w:rsid w:val="53EC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Emphasis"/>
    <w:basedOn w:val="8"/>
    <w:qFormat/>
    <w:uiPriority w:val="20"/>
    <w:rPr>
      <w:i/>
      <w:iCs/>
    </w:rPr>
  </w:style>
  <w:style w:type="character" w:customStyle="1" w:styleId="10">
    <w:name w:val="纯文本 Char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41"/>
    <customShpInfo spid="_x0000_s1052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26"/>
    <customShpInfo spid="_x0000_s1054"/>
    <customShpInfo spid="_x0000_s1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885</Words>
  <Characters>5045</Characters>
  <Lines>42</Lines>
  <Paragraphs>11</Paragraphs>
  <TotalTime>0</TotalTime>
  <ScaleCrop>false</ScaleCrop>
  <LinksUpToDate>false</LinksUpToDate>
  <CharactersWithSpaces>5919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于舒寒</cp:lastModifiedBy>
  <cp:lastPrinted>2020-12-24T07:17:00Z</cp:lastPrinted>
  <dcterms:modified xsi:type="dcterms:W3CDTF">2022-09-09T10:56:38Z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C6D0DE83AA684996B45B884D495BA2F4</vt:lpwstr>
  </property>
</Properties>
</file>