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afterLines="50"/>
        <w:jc w:val="center"/>
        <w:rPr>
          <w:rFonts w:ascii="黑体" w:hAnsi="黑体" w:eastAsia="黑体"/>
          <w:sz w:val="32"/>
          <w:szCs w:val="32"/>
        </w:rPr>
      </w:pPr>
      <w:r>
        <w:rPr>
          <w:rFonts w:hint="eastAsia" w:ascii="黑体" w:hAnsi="黑体" w:eastAsia="黑体"/>
          <w:sz w:val="32"/>
          <w:szCs w:val="32"/>
        </w:rPr>
        <w:t>《足球技能强化与训练3》课程教学大纲（三号黑体）</w:t>
      </w:r>
    </w:p>
    <w:p>
      <w:pPr>
        <w:pStyle w:val="2"/>
        <w:spacing w:beforeLines="50" w:afterLines="50"/>
        <w:ind w:firstLine="562" w:firstLineChars="200"/>
        <w:jc w:val="left"/>
        <w:rPr>
          <w:rFonts w:hAnsi="宋体" w:cs="宋体"/>
        </w:rPr>
      </w:pPr>
      <w:r>
        <w:rPr>
          <w:rFonts w:hint="eastAsia" w:ascii="黑体" w:hAnsi="黑体" w:eastAsia="黑体" w:cs="宋体"/>
          <w:b/>
          <w:sz w:val="28"/>
          <w:szCs w:val="28"/>
        </w:rPr>
        <w:t>一、课程基本信息</w:t>
      </w:r>
      <w:r>
        <w:rPr>
          <w:rFonts w:hint="eastAsia" w:hAnsi="宋体" w:cs="宋体"/>
        </w:rPr>
        <w:t>（四号黑体）</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pPr>
              <w:spacing w:beforeLines="50" w:afterLines="50"/>
              <w:jc w:val="left"/>
              <w:rPr>
                <w:rFonts w:ascii="宋体" w:hAnsi="宋体" w:eastAsia="宋体"/>
              </w:rPr>
            </w:pPr>
            <w:r>
              <w:rPr>
                <w:rFonts w:hint="eastAsia" w:ascii="宋体" w:hAnsi="宋体" w:eastAsia="宋体"/>
              </w:rPr>
              <w:t>Football</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pPr>
              <w:snapToGrid w:val="0"/>
              <w:spacing w:line="360" w:lineRule="auto"/>
              <w:rPr>
                <w:rFonts w:ascii="宋体" w:hAnsi="宋体" w:eastAsia="宋体" w:cs="宋体"/>
                <w:szCs w:val="20"/>
              </w:rPr>
            </w:pPr>
            <w:r>
              <w:rPr>
                <w:rFonts w:ascii="宋体" w:hAnsi="宋体" w:eastAsia="宋体" w:cs="宋体"/>
                <w:szCs w:val="20"/>
              </w:rPr>
              <w:t>PEED003</w:t>
            </w:r>
            <w:r>
              <w:rPr>
                <w:rFonts w:hint="eastAsia" w:ascii="宋体" w:hAnsi="宋体" w:eastAsia="宋体" w:cs="宋体"/>
                <w:szCs w:val="20"/>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pPr>
              <w:spacing w:beforeLines="50" w:afterLines="50"/>
              <w:jc w:val="left"/>
              <w:rPr>
                <w:rFonts w:ascii="宋体" w:hAnsi="宋体" w:eastAsia="宋体"/>
              </w:rPr>
            </w:pPr>
            <w:r>
              <w:rPr>
                <w:rFonts w:hint="eastAsia" w:ascii="宋体" w:hAnsi="宋体" w:eastAsia="宋体" w:cs="宋体"/>
              </w:rPr>
              <w:t>专业选修课程</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pPr>
              <w:snapToGrid w:val="0"/>
              <w:spacing w:line="360" w:lineRule="auto"/>
              <w:rPr>
                <w:rFonts w:ascii="宋体" w:hAnsi="宋体" w:eastAsia="宋体" w:cs="宋体"/>
                <w:szCs w:val="20"/>
              </w:rPr>
            </w:pPr>
            <w:r>
              <w:rPr>
                <w:rFonts w:hint="eastAsia" w:ascii="宋体" w:hAnsi="宋体" w:eastAsia="宋体" w:cs="宋体"/>
                <w:szCs w:val="20"/>
              </w:rPr>
              <w:t>体育教育专业</w:t>
            </w:r>
          </w:p>
          <w:p>
            <w:pPr>
              <w:snapToGrid w:val="0"/>
              <w:spacing w:line="360" w:lineRule="auto"/>
              <w:rPr>
                <w:rFonts w:ascii="宋体" w:hAnsi="宋体" w:eastAsia="宋体" w:cs="宋体"/>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pPr>
              <w:spacing w:beforeLines="50" w:afterLines="50"/>
              <w:jc w:val="left"/>
              <w:rPr>
                <w:rFonts w:ascii="宋体" w:hAnsi="宋体" w:eastAsia="宋体"/>
              </w:rPr>
            </w:pPr>
            <w:r>
              <w:rPr>
                <w:rFonts w:hint="eastAsia" w:ascii="宋体" w:hAnsi="宋体" w:eastAsia="宋体"/>
              </w:rPr>
              <w:t>2.0</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pPr>
              <w:snapToGrid w:val="0"/>
              <w:spacing w:line="360" w:lineRule="auto"/>
              <w:rPr>
                <w:rFonts w:ascii="宋体" w:hAnsi="宋体" w:eastAsia="宋体" w:cs="宋体"/>
                <w:szCs w:val="20"/>
              </w:rPr>
            </w:pPr>
            <w:r>
              <w:rPr>
                <w:rFonts w:ascii="宋体" w:hAnsi="宋体" w:eastAsia="宋体" w:cs="宋体"/>
                <w:szCs w:val="20"/>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spacing w:beforeLines="50" w:afterLines="50"/>
              <w:jc w:val="left"/>
              <w:rPr>
                <w:rFonts w:ascii="宋体" w:hAnsi="宋体" w:eastAsia="宋体"/>
              </w:rPr>
            </w:pPr>
            <w:r>
              <w:rPr>
                <w:rFonts w:hint="eastAsia" w:ascii="宋体" w:hAnsi="宋体" w:eastAsia="宋体" w:cs="宋体"/>
                <w:szCs w:val="20"/>
              </w:rPr>
              <w:t>丁青</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pPr>
              <w:snapToGrid w:val="0"/>
              <w:spacing w:line="360" w:lineRule="auto"/>
              <w:rPr>
                <w:rFonts w:ascii="宋体" w:hAnsi="宋体" w:eastAsia="宋体" w:cs="宋体"/>
                <w:szCs w:val="20"/>
              </w:rPr>
            </w:pPr>
            <w:r>
              <w:rPr>
                <w:rFonts w:hint="eastAsia" w:ascii="宋体" w:hAnsi="宋体" w:eastAsia="宋体" w:cs="宋体"/>
                <w:szCs w:val="20"/>
              </w:rPr>
              <w:t xml:space="preserve">2022年3月23日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snapToGrid w:val="0"/>
              <w:spacing w:line="360" w:lineRule="auto"/>
              <w:rPr>
                <w:rFonts w:ascii="宋体" w:hAnsi="宋体" w:eastAsia="宋体" w:cs="宋体"/>
                <w:szCs w:val="20"/>
              </w:rPr>
            </w:pPr>
            <w:r>
              <w:rPr>
                <w:rFonts w:hint="eastAsia" w:ascii="宋体" w:hAnsi="宋体" w:eastAsia="宋体" w:cs="宋体"/>
                <w:szCs w:val="20"/>
              </w:rPr>
              <w:t>1.王崇喜主编《球类运动-足球》，高等教育出版社，2014年；</w:t>
            </w:r>
          </w:p>
          <w:p>
            <w:pPr>
              <w:snapToGrid w:val="0"/>
              <w:spacing w:line="360" w:lineRule="auto"/>
              <w:rPr>
                <w:rFonts w:ascii="宋体" w:hAnsi="宋体" w:eastAsia="宋体"/>
              </w:rPr>
            </w:pPr>
            <w:r>
              <w:rPr>
                <w:rFonts w:hint="eastAsia" w:ascii="宋体" w:hAnsi="宋体" w:eastAsia="宋体" w:cs="宋体"/>
                <w:szCs w:val="20"/>
              </w:rPr>
              <w:t>2.中国足球协会最新版《足球竞赛规则》</w:t>
            </w:r>
          </w:p>
        </w:tc>
      </w:tr>
    </w:tbl>
    <w:p>
      <w:pPr>
        <w:pStyle w:val="2"/>
        <w:spacing w:beforeLines="50" w:afterLines="50"/>
        <w:ind w:firstLine="562" w:firstLineChars="200"/>
        <w:rPr>
          <w:rFonts w:hAnsi="宋体" w:cs="宋体"/>
        </w:rPr>
      </w:pPr>
      <w:r>
        <w:rPr>
          <w:rFonts w:hint="eastAsia" w:ascii="黑体" w:hAnsi="黑体" w:eastAsia="黑体" w:cs="宋体"/>
          <w:b/>
          <w:sz w:val="28"/>
          <w:szCs w:val="28"/>
        </w:rPr>
        <w:t>二、课程目标</w:t>
      </w:r>
      <w:r>
        <w:rPr>
          <w:rFonts w:hint="eastAsia" w:hAnsi="宋体" w:cs="宋体"/>
        </w:rPr>
        <w:t>（四号黑体）</w:t>
      </w:r>
    </w:p>
    <w:p>
      <w:pPr>
        <w:pStyle w:val="2"/>
        <w:spacing w:beforeLines="50" w:afterLines="50"/>
        <w:ind w:firstLine="480" w:firstLineChars="200"/>
        <w:rPr>
          <w:rFonts w:hAnsi="宋体" w:cs="宋体"/>
        </w:rPr>
      </w:pPr>
      <w:r>
        <w:rPr>
          <w:rFonts w:hint="eastAsia" w:ascii="黑体" w:hAnsi="黑体" w:eastAsia="黑体" w:cs="宋体"/>
          <w:sz w:val="24"/>
          <w:szCs w:val="24"/>
        </w:rPr>
        <w:t>（一）</w:t>
      </w:r>
      <w:r>
        <w:rPr>
          <w:rFonts w:hint="eastAsia" w:ascii="黑体" w:hAnsi="黑体" w:eastAsia="黑体" w:cs="宋体"/>
          <w:b/>
          <w:sz w:val="24"/>
          <w:szCs w:val="24"/>
        </w:rPr>
        <w:t>总体目标：</w:t>
      </w:r>
      <w:r>
        <w:rPr>
          <w:rFonts w:hint="eastAsia" w:hAnsi="宋体" w:cs="宋体"/>
          <w:szCs w:val="21"/>
        </w:rPr>
        <w:t>（小四号黑体）</w:t>
      </w:r>
    </w:p>
    <w:p>
      <w:pPr>
        <w:ind w:firstLine="420" w:firstLineChars="200"/>
        <w:rPr>
          <w:rFonts w:hAnsi="宋体" w:cs="宋体"/>
        </w:rPr>
      </w:pPr>
      <w:r>
        <w:rPr>
          <w:rFonts w:hint="eastAsia" w:ascii="宋体" w:hAnsi="宋体" w:eastAsia="宋体" w:cs="宋体"/>
          <w:szCs w:val="20"/>
        </w:rPr>
        <w:t>通过足球技能强化与训练的学习，学生能够了解足球基本理论知识、裁判法规、竞赛方法。通过课程学习与练习，学生掌握足球的基本技术动作，基本了解足球个人、局部攻防战术的主要方法与要求。通过身体素质的训练和比赛，提高学生足球运动技术水平，培养学生阅读比赛、训练组织指导、竞赛执裁等能力。发展良好的足球专业素养与思维，培养学生勇敢顽强、机智果断的品质，树立学生团结互助、热爱集体、勇于进取的高尚风格。</w:t>
      </w:r>
    </w:p>
    <w:p>
      <w:pPr>
        <w:pStyle w:val="2"/>
        <w:spacing w:beforeLines="50" w:afterLines="50"/>
        <w:ind w:firstLine="480" w:firstLineChars="200"/>
        <w:rPr>
          <w:rFonts w:hAnsi="宋体" w:cs="宋体"/>
        </w:rPr>
      </w:pPr>
      <w:r>
        <w:rPr>
          <w:rFonts w:hint="eastAsia" w:ascii="黑体" w:hAnsi="黑体" w:eastAsia="黑体" w:cs="宋体"/>
          <w:sz w:val="24"/>
          <w:szCs w:val="24"/>
        </w:rPr>
        <w:t>（二）课程目标：</w:t>
      </w:r>
      <w:r>
        <w:rPr>
          <w:rFonts w:hint="eastAsia" w:hAnsi="宋体" w:cs="宋体"/>
        </w:rPr>
        <w:t>（小四号黑体）</w:t>
      </w:r>
    </w:p>
    <w:p>
      <w:pPr>
        <w:pStyle w:val="2"/>
        <w:spacing w:beforeLines="50" w:afterLines="50"/>
        <w:ind w:firstLine="422" w:firstLineChars="200"/>
        <w:rPr>
          <w:rFonts w:hAnsi="宋体" w:cs="宋体"/>
          <w:b/>
        </w:rPr>
      </w:pPr>
      <w:r>
        <w:rPr>
          <w:rFonts w:hint="eastAsia" w:hAnsi="宋体" w:cs="宋体"/>
          <w:b/>
        </w:rPr>
        <w:t>课程目标1：</w:t>
      </w:r>
    </w:p>
    <w:p>
      <w:pPr>
        <w:pStyle w:val="2"/>
        <w:spacing w:beforeLines="50" w:afterLines="50"/>
        <w:ind w:firstLine="420" w:firstLineChars="200"/>
        <w:rPr>
          <w:rFonts w:hAnsi="宋体" w:cs="宋体"/>
        </w:rPr>
      </w:pPr>
      <w:r>
        <w:rPr>
          <w:rFonts w:hint="eastAsia" w:hAnsi="宋体" w:cs="宋体"/>
        </w:rPr>
        <w:t>牢固树立终身学习的思想，不断探索足球运动的基本规律，了解国内外足球运动的动态和发展趋势，能用批判性思维方式审视足球问题，逐渐培养创新能力，具备初步解决现实问题的能力。</w:t>
      </w:r>
    </w:p>
    <w:p>
      <w:pPr>
        <w:pStyle w:val="2"/>
        <w:spacing w:beforeLines="50" w:afterLines="50"/>
        <w:ind w:firstLine="420" w:firstLineChars="200"/>
        <w:rPr>
          <w:rFonts w:hAnsi="宋体" w:cs="宋体"/>
        </w:rPr>
      </w:pPr>
      <w:r>
        <w:rPr>
          <w:rFonts w:hint="eastAsia" w:hAnsi="宋体" w:cs="宋体"/>
        </w:rPr>
        <w:t>1．1了解当代足球运动的基本趋势与特点，提高对足球运动的认识和理解。</w:t>
      </w:r>
    </w:p>
    <w:p>
      <w:pPr>
        <w:pStyle w:val="2"/>
        <w:spacing w:beforeLines="50" w:afterLines="50"/>
        <w:ind w:firstLine="420" w:firstLineChars="200"/>
        <w:rPr>
          <w:rFonts w:hAnsi="宋体" w:cs="宋体"/>
        </w:rPr>
      </w:pPr>
      <w:r>
        <w:rPr>
          <w:rFonts w:hAnsi="宋体" w:cs="宋体"/>
        </w:rPr>
        <w:t>1</w:t>
      </w:r>
      <w:r>
        <w:rPr>
          <w:rFonts w:hint="eastAsia" w:hAnsi="宋体" w:cs="宋体"/>
        </w:rPr>
        <w:t xml:space="preserve">．2 了解足球基本技术的动作原理及方法，掌握足球技术技能教学与训练方法步骤。      </w:t>
      </w:r>
    </w:p>
    <w:p>
      <w:pPr>
        <w:pStyle w:val="2"/>
        <w:spacing w:beforeLines="50" w:afterLines="50"/>
        <w:ind w:firstLine="420" w:firstLineChars="200"/>
        <w:rPr>
          <w:rFonts w:hAnsi="宋体" w:cs="宋体"/>
        </w:rPr>
      </w:pPr>
      <w:r>
        <w:rPr>
          <w:rFonts w:hAnsi="宋体" w:cs="宋体"/>
        </w:rPr>
        <w:t>1</w:t>
      </w:r>
      <w:r>
        <w:rPr>
          <w:rFonts w:hint="eastAsia" w:hAnsi="宋体" w:cs="宋体"/>
        </w:rPr>
        <w:t>．3领会足球竞赛规则的精神实质，学习足球竞赛方法。</w:t>
      </w:r>
    </w:p>
    <w:p>
      <w:pPr>
        <w:pStyle w:val="2"/>
        <w:spacing w:beforeLines="50" w:afterLines="50"/>
        <w:ind w:firstLine="422" w:firstLineChars="200"/>
        <w:rPr>
          <w:rFonts w:hAnsi="宋体" w:cs="宋体"/>
          <w:b/>
        </w:rPr>
      </w:pPr>
    </w:p>
    <w:p>
      <w:pPr>
        <w:pStyle w:val="2"/>
        <w:spacing w:beforeLines="50" w:afterLines="50"/>
        <w:ind w:firstLine="422" w:firstLineChars="200"/>
        <w:rPr>
          <w:rFonts w:hAnsi="宋体" w:cs="宋体"/>
          <w:b/>
        </w:rPr>
      </w:pPr>
      <w:r>
        <w:rPr>
          <w:rFonts w:hint="eastAsia" w:hAnsi="宋体" w:cs="宋体"/>
          <w:b/>
        </w:rPr>
        <w:t>课程目标2：</w:t>
      </w:r>
    </w:p>
    <w:p>
      <w:pPr>
        <w:pStyle w:val="2"/>
        <w:spacing w:beforeLines="50" w:afterLines="50"/>
        <w:ind w:firstLine="420" w:firstLineChars="200"/>
        <w:rPr>
          <w:rFonts w:hAnsi="宋体" w:cs="宋体"/>
          <w:b/>
        </w:rPr>
      </w:pPr>
      <w:r>
        <w:rPr>
          <w:rFonts w:hint="eastAsia" w:hAnsi="宋体"/>
          <w:color w:val="000000"/>
          <w:szCs w:val="21"/>
        </w:rPr>
        <w:t>通过学习，学生能够熟练掌握足球技术技能，了解个人、局部攻防战术，在足球比赛中采用合理的动作方法。</w:t>
      </w:r>
      <w:r>
        <w:rPr>
          <w:rFonts w:ascii="Times New Roman" w:hAnsi="Times New Roman"/>
          <w:bCs/>
          <w:color w:val="000000" w:themeColor="text1"/>
          <w:szCs w:val="21"/>
        </w:rPr>
        <w:t>具备学习足球专项一般和专项体能，能够在比赛中</w:t>
      </w:r>
      <w:r>
        <w:rPr>
          <w:rFonts w:hint="eastAsia" w:ascii="Times New Roman" w:hAnsi="Times New Roman"/>
          <w:bCs/>
          <w:color w:val="000000" w:themeColor="text1"/>
          <w:szCs w:val="21"/>
        </w:rPr>
        <w:t>运用中小学体育与健康课程中规定</w:t>
      </w:r>
      <w:r>
        <w:rPr>
          <w:rFonts w:ascii="Times New Roman" w:hAnsi="Times New Roman"/>
          <w:bCs/>
          <w:color w:val="000000" w:themeColor="text1"/>
          <w:szCs w:val="21"/>
        </w:rPr>
        <w:t>的</w:t>
      </w:r>
      <w:r>
        <w:rPr>
          <w:rFonts w:hint="eastAsia" w:ascii="Times New Roman" w:hAnsi="Times New Roman"/>
          <w:color w:val="000000" w:themeColor="text1"/>
          <w:szCs w:val="21"/>
        </w:rPr>
        <w:t>技战术</w:t>
      </w:r>
      <w:r>
        <w:rPr>
          <w:rFonts w:ascii="Times New Roman" w:hAnsi="Times New Roman"/>
          <w:bCs/>
          <w:color w:val="000000" w:themeColor="text1"/>
          <w:szCs w:val="21"/>
        </w:rPr>
        <w:t>。</w:t>
      </w:r>
      <w:r>
        <w:rPr>
          <w:rFonts w:hint="eastAsia" w:hAnsi="宋体"/>
          <w:color w:val="000000"/>
          <w:szCs w:val="21"/>
        </w:rPr>
        <w:t>具备较强合作能力和团队协作精神。</w:t>
      </w:r>
    </w:p>
    <w:p>
      <w:pPr>
        <w:pStyle w:val="2"/>
        <w:spacing w:beforeLines="50" w:afterLines="50"/>
        <w:ind w:firstLine="420" w:firstLineChars="200"/>
        <w:rPr>
          <w:rFonts w:hAnsi="宋体"/>
          <w:color w:val="000000"/>
          <w:szCs w:val="21"/>
        </w:rPr>
      </w:pPr>
      <w:r>
        <w:rPr>
          <w:rFonts w:hint="eastAsia" w:hAnsi="宋体" w:cs="宋体"/>
        </w:rPr>
        <w:t>2．1通过</w:t>
      </w:r>
      <w:r>
        <w:rPr>
          <w:rFonts w:hint="eastAsia" w:hAnsi="宋体"/>
          <w:color w:val="000000"/>
          <w:szCs w:val="21"/>
        </w:rPr>
        <w:t>足球专项准备活动学习，掌握足球专项准备活动基本方法与步骤。</w:t>
      </w:r>
    </w:p>
    <w:p>
      <w:pPr>
        <w:pStyle w:val="2"/>
        <w:spacing w:beforeLines="50" w:afterLines="50"/>
        <w:ind w:firstLine="420" w:firstLineChars="200"/>
        <w:rPr>
          <w:rFonts w:hAnsi="宋体" w:cs="宋体"/>
        </w:rPr>
      </w:pPr>
      <w:r>
        <w:rPr>
          <w:rFonts w:hAnsi="宋体" w:cs="宋体"/>
        </w:rPr>
        <w:t>2</w:t>
      </w:r>
      <w:r>
        <w:rPr>
          <w:rFonts w:hint="eastAsia" w:hAnsi="宋体" w:cs="宋体"/>
        </w:rPr>
        <w:t xml:space="preserve">．2学习足球专项一般和专项体能，强化学习足球技术技能。                      </w:t>
      </w:r>
    </w:p>
    <w:p>
      <w:pPr>
        <w:pStyle w:val="2"/>
        <w:spacing w:beforeLines="50" w:afterLines="50"/>
        <w:ind w:firstLine="420" w:firstLineChars="200"/>
        <w:rPr>
          <w:rFonts w:hAnsi="宋体" w:cs="宋体"/>
        </w:rPr>
      </w:pPr>
      <w:r>
        <w:rPr>
          <w:rFonts w:hAnsi="宋体" w:cs="宋体"/>
        </w:rPr>
        <w:t>2</w:t>
      </w:r>
      <w:r>
        <w:rPr>
          <w:rFonts w:hint="eastAsia" w:hAnsi="宋体" w:cs="宋体"/>
        </w:rPr>
        <w:t>．3学习并掌握足球个人、局部攻防战术的方法与要求，积极学习并思考，能够在比赛中灵活运用。</w:t>
      </w:r>
    </w:p>
    <w:p>
      <w:pPr>
        <w:pStyle w:val="2"/>
        <w:spacing w:beforeLines="50" w:afterLines="50"/>
        <w:ind w:firstLine="422" w:firstLineChars="200"/>
        <w:rPr>
          <w:rFonts w:hAnsi="宋体" w:cs="宋体"/>
          <w:b/>
        </w:rPr>
      </w:pPr>
      <w:r>
        <w:rPr>
          <w:rFonts w:hint="eastAsia" w:hAnsi="宋体" w:cs="宋体"/>
          <w:b/>
        </w:rPr>
        <w:t>课程目标3：</w:t>
      </w:r>
    </w:p>
    <w:p>
      <w:pPr>
        <w:pStyle w:val="2"/>
        <w:spacing w:beforeLines="50" w:afterLines="50"/>
        <w:ind w:firstLine="420" w:firstLineChars="200"/>
        <w:rPr>
          <w:rFonts w:hAnsi="宋体"/>
          <w:color w:val="000000"/>
          <w:szCs w:val="21"/>
        </w:rPr>
      </w:pPr>
      <w:r>
        <w:rPr>
          <w:rFonts w:hint="eastAsia" w:hAnsi="宋体"/>
          <w:color w:val="000000"/>
          <w:szCs w:val="21"/>
        </w:rPr>
        <w:t>能够依据国家中小学《体育与健康课程标准》和“中国健康体育课程模式”，掌握江苏省《体育与健康课程标准》，根据教学对象的身体发育、心理特点和发展规律，结合实际情况，开展足球教学与评价工作，并能够指导足球活动、业余训练与竞赛。</w:t>
      </w:r>
    </w:p>
    <w:p>
      <w:pPr>
        <w:pStyle w:val="2"/>
        <w:spacing w:beforeLines="50" w:afterLines="50"/>
        <w:ind w:firstLine="420" w:firstLineChars="200"/>
        <w:rPr>
          <w:rFonts w:hAnsi="宋体" w:cs="宋体"/>
        </w:rPr>
      </w:pPr>
      <w:r>
        <w:rPr>
          <w:rFonts w:hint="eastAsia" w:hAnsi="宋体" w:cs="宋体"/>
        </w:rPr>
        <w:t>3．1掌握足球运动基本技术技能，并指导教学实践。</w:t>
      </w:r>
    </w:p>
    <w:p>
      <w:pPr>
        <w:pStyle w:val="2"/>
        <w:spacing w:beforeLines="50" w:afterLines="50"/>
        <w:ind w:firstLine="420" w:firstLineChars="200"/>
        <w:rPr>
          <w:rFonts w:hAnsi="宋体" w:cs="宋体"/>
        </w:rPr>
      </w:pPr>
      <w:r>
        <w:rPr>
          <w:rFonts w:hint="eastAsia" w:hAnsi="宋体" w:cs="宋体"/>
        </w:rPr>
        <w:t xml:space="preserve">3．2掌握足球裁判规则，在教学比赛中大胆实践，为今后从事足球竞赛工作打下基础。                                                                                                                                                                                                                                 </w:t>
      </w:r>
    </w:p>
    <w:p>
      <w:pPr>
        <w:pStyle w:val="2"/>
        <w:spacing w:beforeLines="50" w:afterLines="50"/>
        <w:ind w:firstLine="420" w:firstLineChars="200"/>
        <w:rPr>
          <w:rFonts w:hAnsi="宋体" w:cs="宋体"/>
        </w:rPr>
      </w:pPr>
      <w:r>
        <w:rPr>
          <w:rFonts w:hint="eastAsia" w:hAnsi="宋体" w:cs="宋体"/>
        </w:rPr>
        <w:t>（要求参照《普通高等学校本科专业类教学质量国家标准》，对应各类专业认证标准，注意对毕业要求支撑程度强弱的描述，与“课程目标对毕业要求的支撑关系表一致）（五号宋体）</w:t>
      </w:r>
    </w:p>
    <w:p>
      <w:pPr>
        <w:pStyle w:val="2"/>
        <w:spacing w:beforeLines="50" w:afterLines="50"/>
        <w:ind w:firstLine="480" w:firstLineChars="200"/>
        <w:rPr>
          <w:rFonts w:hAnsi="宋体" w:cs="宋体"/>
        </w:rPr>
      </w:pPr>
      <w:r>
        <w:rPr>
          <w:rFonts w:hint="eastAsia" w:ascii="黑体" w:hAnsi="黑体" w:eastAsia="黑体" w:cs="宋体"/>
          <w:sz w:val="24"/>
          <w:szCs w:val="24"/>
        </w:rPr>
        <w:t>（三）课程目标与毕业要求、课程内容的对应关系</w:t>
      </w:r>
      <w:r>
        <w:rPr>
          <w:rFonts w:hint="eastAsia" w:hAnsi="宋体" w:cs="宋体"/>
        </w:rPr>
        <w:t>（小四号黑体）</w:t>
      </w:r>
    </w:p>
    <w:p>
      <w:pPr>
        <w:pStyle w:val="2"/>
        <w:spacing w:beforeLines="50" w:afterLines="50"/>
        <w:ind w:firstLine="422" w:firstLineChars="200"/>
        <w:jc w:val="center"/>
        <w:rPr>
          <w:rFonts w:ascii="黑体" w:hAnsi="宋体"/>
          <w:b/>
          <w:bCs/>
          <w:szCs w:val="21"/>
        </w:rPr>
      </w:pPr>
      <w:r>
        <w:rPr>
          <w:rFonts w:hint="eastAsia" w:ascii="黑体" w:hAnsi="宋体"/>
          <w:b/>
          <w:bCs/>
          <w:szCs w:val="21"/>
        </w:rPr>
        <w:t>表1：课程目标与课程内容、毕业要求的对应关系表</w:t>
      </w:r>
      <w:r>
        <w:rPr>
          <w:rFonts w:hint="eastAsia" w:ascii="黑体" w:hAnsi="宋体"/>
          <w:bCs/>
          <w:szCs w:val="21"/>
        </w:rPr>
        <w:t>（五号宋体）</w:t>
      </w:r>
    </w:p>
    <w:tbl>
      <w:tblPr>
        <w:tblStyle w:val="6"/>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959"/>
        <w:gridCol w:w="3118"/>
        <w:gridCol w:w="2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2"/>
              <w:spacing w:beforeLines="50" w:afterLines="50"/>
              <w:jc w:val="center"/>
              <w:rPr>
                <w:rFonts w:ascii="黑体" w:hAnsi="宋体"/>
                <w:b/>
                <w:bCs/>
                <w:szCs w:val="21"/>
              </w:rPr>
            </w:pPr>
            <w:r>
              <w:rPr>
                <w:rFonts w:hint="eastAsia" w:ascii="黑体" w:hAnsi="宋体"/>
                <w:b/>
                <w:bCs/>
                <w:szCs w:val="21"/>
              </w:rPr>
              <w:t>课程目标</w:t>
            </w:r>
          </w:p>
        </w:tc>
        <w:tc>
          <w:tcPr>
            <w:tcW w:w="1959" w:type="dxa"/>
            <w:vAlign w:val="center"/>
          </w:tcPr>
          <w:p>
            <w:pPr>
              <w:pStyle w:val="2"/>
              <w:spacing w:beforeLines="50" w:afterLines="50"/>
              <w:jc w:val="center"/>
              <w:rPr>
                <w:rFonts w:hAnsi="宋体" w:cs="宋体"/>
                <w:b/>
              </w:rPr>
            </w:pPr>
            <w:r>
              <w:rPr>
                <w:rFonts w:hint="eastAsia" w:hAnsi="宋体" w:cs="宋体"/>
                <w:b/>
              </w:rPr>
              <w:t>课程子目标</w:t>
            </w:r>
          </w:p>
        </w:tc>
        <w:tc>
          <w:tcPr>
            <w:tcW w:w="3118" w:type="dxa"/>
            <w:vAlign w:val="center"/>
          </w:tcPr>
          <w:p>
            <w:pPr>
              <w:pStyle w:val="2"/>
              <w:spacing w:beforeLines="50" w:afterLines="50"/>
              <w:jc w:val="center"/>
              <w:rPr>
                <w:rFonts w:ascii="黑体" w:hAnsi="宋体"/>
                <w:b/>
                <w:bCs/>
                <w:szCs w:val="21"/>
              </w:rPr>
            </w:pPr>
            <w:r>
              <w:rPr>
                <w:rFonts w:hint="eastAsia" w:ascii="黑体" w:hAnsi="宋体"/>
                <w:b/>
                <w:bCs/>
                <w:szCs w:val="21"/>
              </w:rPr>
              <w:t>对应课程内容</w:t>
            </w:r>
          </w:p>
        </w:tc>
        <w:tc>
          <w:tcPr>
            <w:tcW w:w="2688" w:type="dxa"/>
            <w:vAlign w:val="center"/>
          </w:tcPr>
          <w:p>
            <w:pPr>
              <w:pStyle w:val="2"/>
              <w:spacing w:beforeLines="50" w:afterLines="50"/>
              <w:jc w:val="center"/>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Lines="50" w:afterLines="50"/>
              <w:jc w:val="center"/>
              <w:rPr>
                <w:rFonts w:hAnsi="宋体" w:cs="宋体"/>
                <w:szCs w:val="21"/>
              </w:rPr>
            </w:pPr>
            <w:r>
              <w:rPr>
                <w:rFonts w:hint="eastAsia" w:hAnsi="宋体" w:cs="宋体"/>
                <w:szCs w:val="21"/>
              </w:rPr>
              <w:t>课程目标1</w:t>
            </w:r>
          </w:p>
        </w:tc>
        <w:tc>
          <w:tcPr>
            <w:tcW w:w="1959" w:type="dxa"/>
            <w:vAlign w:val="center"/>
          </w:tcPr>
          <w:p>
            <w:pPr>
              <w:pStyle w:val="2"/>
              <w:spacing w:beforeLines="50" w:afterLines="50"/>
              <w:jc w:val="center"/>
              <w:rPr>
                <w:rFonts w:hAnsi="宋体" w:cs="宋体"/>
              </w:rPr>
            </w:pPr>
            <w:r>
              <w:rPr>
                <w:rFonts w:hint="eastAsia" w:hAnsi="宋体" w:cs="宋体"/>
              </w:rPr>
              <w:t>1.1</w:t>
            </w:r>
          </w:p>
        </w:tc>
        <w:tc>
          <w:tcPr>
            <w:tcW w:w="3118" w:type="dxa"/>
            <w:vAlign w:val="center"/>
          </w:tcPr>
          <w:p>
            <w:pPr>
              <w:pStyle w:val="2"/>
              <w:spacing w:beforeLines="50" w:afterLines="50"/>
              <w:jc w:val="center"/>
              <w:rPr>
                <w:rFonts w:hAnsi="宋体" w:cs="宋体"/>
              </w:rPr>
            </w:pPr>
            <w:r>
              <w:rPr>
                <w:rFonts w:hint="eastAsia"/>
                <w:szCs w:val="21"/>
              </w:rPr>
              <w:t>足球运动发展趋势</w:t>
            </w:r>
          </w:p>
        </w:tc>
        <w:tc>
          <w:tcPr>
            <w:tcW w:w="2688" w:type="dxa"/>
            <w:vAlign w:val="center"/>
          </w:tcPr>
          <w:p>
            <w:pPr>
              <w:pStyle w:val="2"/>
              <w:spacing w:beforeLines="50" w:afterLines="50"/>
              <w:jc w:val="center"/>
              <w:rPr>
                <w:rFonts w:hAnsi="宋体" w:cs="宋体"/>
              </w:rPr>
            </w:pPr>
            <w:r>
              <w:rPr>
                <w:rFonts w:hint="eastAsia" w:hAnsi="宋体" w:cs="宋体"/>
              </w:rPr>
              <w:t>熟知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Lines="50" w:afterLines="50"/>
              <w:jc w:val="center"/>
              <w:rPr>
                <w:rFonts w:hAnsi="宋体" w:cs="宋体"/>
                <w:szCs w:val="21"/>
              </w:rPr>
            </w:pPr>
          </w:p>
        </w:tc>
        <w:tc>
          <w:tcPr>
            <w:tcW w:w="1959" w:type="dxa"/>
            <w:vAlign w:val="center"/>
          </w:tcPr>
          <w:p>
            <w:pPr>
              <w:pStyle w:val="2"/>
              <w:spacing w:beforeLines="50" w:afterLines="50"/>
              <w:jc w:val="center"/>
              <w:rPr>
                <w:rFonts w:hAnsi="宋体" w:cs="宋体"/>
              </w:rPr>
            </w:pPr>
            <w:r>
              <w:rPr>
                <w:rFonts w:hint="eastAsia" w:hAnsi="宋体" w:cs="宋体"/>
              </w:rPr>
              <w:t>1.2</w:t>
            </w:r>
          </w:p>
        </w:tc>
        <w:tc>
          <w:tcPr>
            <w:tcW w:w="3118" w:type="dxa"/>
            <w:vAlign w:val="center"/>
          </w:tcPr>
          <w:p>
            <w:pPr>
              <w:pStyle w:val="2"/>
              <w:spacing w:beforeLines="50" w:afterLines="50"/>
              <w:jc w:val="center"/>
              <w:rPr>
                <w:rFonts w:hAnsi="宋体" w:cs="宋体"/>
              </w:rPr>
            </w:pPr>
            <w:r>
              <w:rPr>
                <w:rFonts w:hint="eastAsia"/>
                <w:szCs w:val="21"/>
              </w:rPr>
              <w:t>足球运动基本技、战术</w:t>
            </w:r>
          </w:p>
        </w:tc>
        <w:tc>
          <w:tcPr>
            <w:tcW w:w="2688" w:type="dxa"/>
            <w:vAlign w:val="center"/>
          </w:tcPr>
          <w:p>
            <w:pPr>
              <w:pStyle w:val="2"/>
              <w:spacing w:beforeLines="50" w:afterLines="50"/>
              <w:jc w:val="center"/>
              <w:rPr>
                <w:rFonts w:hAnsi="宋体" w:cs="宋体"/>
              </w:rPr>
            </w:pPr>
            <w:r>
              <w:rPr>
                <w:rFonts w:hint="eastAsia" w:hAnsi="宋体" w:cs="宋体"/>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Lines="50" w:afterLines="50"/>
              <w:jc w:val="center"/>
              <w:rPr>
                <w:rFonts w:hAnsi="宋体" w:cs="宋体"/>
                <w:szCs w:val="21"/>
              </w:rPr>
            </w:pPr>
          </w:p>
        </w:tc>
        <w:tc>
          <w:tcPr>
            <w:tcW w:w="1959" w:type="dxa"/>
            <w:vAlign w:val="center"/>
          </w:tcPr>
          <w:p>
            <w:pPr>
              <w:pStyle w:val="2"/>
              <w:spacing w:beforeLines="50" w:afterLines="50"/>
              <w:jc w:val="center"/>
              <w:rPr>
                <w:rFonts w:hAnsi="宋体" w:cs="宋体"/>
              </w:rPr>
            </w:pPr>
            <w:r>
              <w:rPr>
                <w:rFonts w:hint="eastAsia" w:hAnsi="宋体" w:cs="宋体"/>
              </w:rPr>
              <w:t>1.3</w:t>
            </w:r>
          </w:p>
        </w:tc>
        <w:tc>
          <w:tcPr>
            <w:tcW w:w="3118" w:type="dxa"/>
            <w:vAlign w:val="center"/>
          </w:tcPr>
          <w:p>
            <w:pPr>
              <w:pStyle w:val="2"/>
              <w:spacing w:beforeLines="50" w:afterLines="50"/>
              <w:jc w:val="center"/>
              <w:rPr>
                <w:szCs w:val="21"/>
              </w:rPr>
            </w:pPr>
            <w:r>
              <w:rPr>
                <w:rFonts w:hint="eastAsia"/>
                <w:szCs w:val="21"/>
              </w:rPr>
              <w:t>足球竞赛规则</w:t>
            </w:r>
          </w:p>
        </w:tc>
        <w:tc>
          <w:tcPr>
            <w:tcW w:w="2688" w:type="dxa"/>
            <w:vAlign w:val="center"/>
          </w:tcPr>
          <w:p>
            <w:pPr>
              <w:pStyle w:val="2"/>
              <w:spacing w:beforeLines="50" w:afterLines="50"/>
              <w:jc w:val="center"/>
              <w:rPr>
                <w:rFonts w:hAnsi="宋体" w:cs="宋体"/>
              </w:rPr>
            </w:pPr>
            <w:r>
              <w:rPr>
                <w:rFonts w:hint="eastAsia" w:hAnsi="宋体" w:cs="宋体"/>
              </w:rPr>
              <w:t>熟知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Lines="50" w:afterLines="50"/>
              <w:jc w:val="center"/>
              <w:rPr>
                <w:rFonts w:hAnsi="宋体" w:cs="宋体"/>
                <w:szCs w:val="21"/>
              </w:rPr>
            </w:pPr>
            <w:r>
              <w:rPr>
                <w:rFonts w:hint="eastAsia" w:hAnsi="宋体" w:cs="宋体"/>
                <w:szCs w:val="21"/>
              </w:rPr>
              <w:t>课程目标2</w:t>
            </w:r>
          </w:p>
        </w:tc>
        <w:tc>
          <w:tcPr>
            <w:tcW w:w="1959" w:type="dxa"/>
            <w:vAlign w:val="center"/>
          </w:tcPr>
          <w:p>
            <w:pPr>
              <w:pStyle w:val="2"/>
              <w:spacing w:beforeLines="50" w:afterLines="50"/>
              <w:jc w:val="center"/>
              <w:rPr>
                <w:rFonts w:hAnsi="宋体" w:cs="宋体"/>
              </w:rPr>
            </w:pPr>
            <w:r>
              <w:rPr>
                <w:rFonts w:hint="eastAsia" w:hAnsi="宋体" w:cs="宋体"/>
              </w:rPr>
              <w:t>2.1</w:t>
            </w:r>
          </w:p>
        </w:tc>
        <w:tc>
          <w:tcPr>
            <w:tcW w:w="3118" w:type="dxa"/>
            <w:vAlign w:val="center"/>
          </w:tcPr>
          <w:p>
            <w:pPr>
              <w:pStyle w:val="2"/>
              <w:spacing w:beforeLines="50" w:afterLines="50"/>
              <w:jc w:val="center"/>
              <w:rPr>
                <w:rFonts w:hAnsi="宋体" w:cs="宋体"/>
              </w:rPr>
            </w:pPr>
            <w:r>
              <w:rPr>
                <w:rFonts w:hint="eastAsia"/>
                <w:szCs w:val="21"/>
              </w:rPr>
              <w:t>足球专项准备活动</w:t>
            </w:r>
          </w:p>
        </w:tc>
        <w:tc>
          <w:tcPr>
            <w:tcW w:w="2688" w:type="dxa"/>
            <w:vAlign w:val="center"/>
          </w:tcPr>
          <w:p>
            <w:pPr>
              <w:pStyle w:val="2"/>
              <w:spacing w:beforeLines="50" w:afterLines="50"/>
              <w:jc w:val="center"/>
              <w:rPr>
                <w:rFonts w:hAnsi="宋体" w:cs="宋体"/>
              </w:rPr>
            </w:pPr>
            <w:r>
              <w:rPr>
                <w:rFonts w:hint="eastAsia" w:hAnsi="宋体" w:cs="宋体"/>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Lines="50" w:afterLines="50"/>
              <w:jc w:val="center"/>
              <w:rPr>
                <w:rFonts w:hAnsi="宋体" w:cs="宋体"/>
                <w:szCs w:val="21"/>
              </w:rPr>
            </w:pPr>
          </w:p>
        </w:tc>
        <w:tc>
          <w:tcPr>
            <w:tcW w:w="1959" w:type="dxa"/>
            <w:vAlign w:val="center"/>
          </w:tcPr>
          <w:p>
            <w:pPr>
              <w:pStyle w:val="2"/>
              <w:spacing w:beforeLines="50" w:afterLines="50"/>
              <w:jc w:val="center"/>
              <w:rPr>
                <w:rFonts w:hAnsi="宋体" w:cs="宋体"/>
              </w:rPr>
            </w:pPr>
            <w:r>
              <w:rPr>
                <w:rFonts w:hint="eastAsia" w:hAnsi="宋体" w:cs="宋体"/>
              </w:rPr>
              <w:t>2.2</w:t>
            </w:r>
          </w:p>
        </w:tc>
        <w:tc>
          <w:tcPr>
            <w:tcW w:w="3118" w:type="dxa"/>
            <w:vAlign w:val="center"/>
          </w:tcPr>
          <w:p>
            <w:pPr>
              <w:pStyle w:val="2"/>
              <w:spacing w:beforeLines="50" w:afterLines="50"/>
              <w:jc w:val="center"/>
              <w:rPr>
                <w:rFonts w:ascii="黑体" w:hAnsi="宋体"/>
                <w:b/>
                <w:bCs/>
                <w:szCs w:val="21"/>
              </w:rPr>
            </w:pPr>
            <w:r>
              <w:rPr>
                <w:rFonts w:hint="eastAsia"/>
                <w:szCs w:val="21"/>
              </w:rPr>
              <w:t>足球技术动作分析与教学组织</w:t>
            </w:r>
          </w:p>
        </w:tc>
        <w:tc>
          <w:tcPr>
            <w:tcW w:w="2688" w:type="dxa"/>
            <w:vAlign w:val="center"/>
          </w:tcPr>
          <w:p>
            <w:pPr>
              <w:pStyle w:val="2"/>
              <w:spacing w:beforeLines="50" w:afterLines="50"/>
              <w:jc w:val="center"/>
              <w:rPr>
                <w:rFonts w:hAnsi="宋体" w:cs="宋体"/>
              </w:rPr>
            </w:pPr>
            <w:r>
              <w:rPr>
                <w:rFonts w:hint="eastAsia" w:hAnsi="宋体" w:cs="宋体"/>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Lines="50" w:afterLines="50"/>
              <w:jc w:val="center"/>
              <w:rPr>
                <w:rFonts w:hAnsi="宋体" w:cs="宋体"/>
                <w:szCs w:val="21"/>
              </w:rPr>
            </w:pPr>
          </w:p>
        </w:tc>
        <w:tc>
          <w:tcPr>
            <w:tcW w:w="1959" w:type="dxa"/>
            <w:vAlign w:val="center"/>
          </w:tcPr>
          <w:p>
            <w:pPr>
              <w:pStyle w:val="2"/>
              <w:spacing w:beforeLines="50" w:afterLines="50"/>
              <w:jc w:val="center"/>
              <w:rPr>
                <w:rFonts w:hAnsi="宋体" w:cs="宋体"/>
              </w:rPr>
            </w:pPr>
            <w:r>
              <w:rPr>
                <w:rFonts w:hint="eastAsia" w:hAnsi="宋体" w:cs="宋体"/>
              </w:rPr>
              <w:t>2.3</w:t>
            </w:r>
          </w:p>
        </w:tc>
        <w:tc>
          <w:tcPr>
            <w:tcW w:w="3118" w:type="dxa"/>
            <w:vAlign w:val="center"/>
          </w:tcPr>
          <w:p>
            <w:pPr>
              <w:pStyle w:val="2"/>
              <w:spacing w:beforeLines="50" w:afterLines="50"/>
              <w:jc w:val="center"/>
              <w:rPr>
                <w:rFonts w:ascii="黑体" w:hAnsi="宋体"/>
                <w:b/>
                <w:bCs/>
                <w:szCs w:val="21"/>
              </w:rPr>
            </w:pPr>
            <w:r>
              <w:rPr>
                <w:rFonts w:hint="eastAsia"/>
                <w:szCs w:val="21"/>
              </w:rPr>
              <w:t>足球战术分析与实践</w:t>
            </w:r>
          </w:p>
        </w:tc>
        <w:tc>
          <w:tcPr>
            <w:tcW w:w="2688" w:type="dxa"/>
            <w:vAlign w:val="center"/>
          </w:tcPr>
          <w:p>
            <w:pPr>
              <w:pStyle w:val="2"/>
              <w:spacing w:beforeLines="50" w:afterLines="50"/>
              <w:jc w:val="center"/>
              <w:rPr>
                <w:rFonts w:hAnsi="宋体" w:cs="宋体"/>
              </w:rPr>
            </w:pPr>
            <w:r>
              <w:rPr>
                <w:rFonts w:hint="eastAsia" w:hAnsi="宋体" w:cs="宋体"/>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Lines="50" w:afterLines="50"/>
              <w:jc w:val="center"/>
              <w:rPr>
                <w:rFonts w:hAnsi="宋体" w:cs="宋体"/>
                <w:szCs w:val="21"/>
              </w:rPr>
            </w:pPr>
            <w:r>
              <w:rPr>
                <w:rFonts w:hint="eastAsia" w:hAnsi="宋体" w:cs="宋体"/>
                <w:szCs w:val="21"/>
              </w:rPr>
              <w:t>课程目标3</w:t>
            </w:r>
          </w:p>
          <w:p>
            <w:pPr>
              <w:pStyle w:val="2"/>
              <w:spacing w:beforeLines="50" w:afterLines="50"/>
              <w:jc w:val="center"/>
              <w:rPr>
                <w:rFonts w:hAnsi="宋体" w:cs="宋体"/>
                <w:szCs w:val="21"/>
              </w:rPr>
            </w:pPr>
          </w:p>
        </w:tc>
        <w:tc>
          <w:tcPr>
            <w:tcW w:w="1959" w:type="dxa"/>
            <w:vAlign w:val="center"/>
          </w:tcPr>
          <w:p>
            <w:pPr>
              <w:pStyle w:val="2"/>
              <w:spacing w:beforeLines="50" w:afterLines="50"/>
              <w:jc w:val="center"/>
              <w:rPr>
                <w:rFonts w:hAnsi="宋体" w:cs="宋体"/>
              </w:rPr>
            </w:pPr>
            <w:r>
              <w:rPr>
                <w:rFonts w:hint="eastAsia" w:hAnsi="宋体" w:cs="宋体"/>
                <w:szCs w:val="21"/>
              </w:rPr>
              <w:t>3.1</w:t>
            </w:r>
          </w:p>
        </w:tc>
        <w:tc>
          <w:tcPr>
            <w:tcW w:w="3118" w:type="dxa"/>
            <w:vAlign w:val="center"/>
          </w:tcPr>
          <w:p>
            <w:pPr>
              <w:pStyle w:val="2"/>
              <w:spacing w:beforeLines="50" w:afterLines="50"/>
              <w:jc w:val="center"/>
              <w:rPr>
                <w:rFonts w:ascii="黑体" w:hAnsi="宋体"/>
                <w:b/>
                <w:bCs/>
                <w:szCs w:val="21"/>
              </w:rPr>
            </w:pPr>
            <w:r>
              <w:rPr>
                <w:rFonts w:hint="eastAsia" w:hAnsi="宋体" w:cs="宋体"/>
                <w:szCs w:val="21"/>
              </w:rPr>
              <w:t>足球技术强化</w:t>
            </w:r>
          </w:p>
        </w:tc>
        <w:tc>
          <w:tcPr>
            <w:tcW w:w="2688" w:type="dxa"/>
            <w:vAlign w:val="center"/>
          </w:tcPr>
          <w:p>
            <w:pPr>
              <w:pStyle w:val="2"/>
              <w:spacing w:beforeLines="50" w:afterLines="50"/>
              <w:jc w:val="center"/>
              <w:rPr>
                <w:rFonts w:hAnsi="宋体" w:cs="宋体"/>
              </w:rPr>
            </w:pPr>
            <w:r>
              <w:rPr>
                <w:rFonts w:hint="eastAsia" w:hAnsi="宋体" w:cs="宋体"/>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Lines="50" w:afterLines="50"/>
              <w:jc w:val="center"/>
              <w:rPr>
                <w:rFonts w:hAnsi="宋体" w:cs="宋体"/>
                <w:szCs w:val="21"/>
              </w:rPr>
            </w:pPr>
          </w:p>
        </w:tc>
        <w:tc>
          <w:tcPr>
            <w:tcW w:w="1959" w:type="dxa"/>
            <w:vAlign w:val="center"/>
          </w:tcPr>
          <w:p>
            <w:pPr>
              <w:pStyle w:val="2"/>
              <w:spacing w:beforeLines="50" w:afterLines="50"/>
              <w:jc w:val="center"/>
              <w:rPr>
                <w:rFonts w:hAnsi="宋体" w:cs="宋体"/>
              </w:rPr>
            </w:pPr>
            <w:r>
              <w:rPr>
                <w:rFonts w:hint="eastAsia" w:hAnsi="宋体" w:cs="宋体"/>
              </w:rPr>
              <w:t>3.2</w:t>
            </w:r>
          </w:p>
        </w:tc>
        <w:tc>
          <w:tcPr>
            <w:tcW w:w="3118" w:type="dxa"/>
            <w:vAlign w:val="center"/>
          </w:tcPr>
          <w:p>
            <w:pPr>
              <w:pStyle w:val="2"/>
              <w:spacing w:beforeLines="50" w:afterLines="50"/>
              <w:jc w:val="center"/>
              <w:rPr>
                <w:rFonts w:ascii="黑体" w:hAnsi="宋体"/>
                <w:b/>
                <w:bCs/>
                <w:szCs w:val="21"/>
              </w:rPr>
            </w:pPr>
            <w:r>
              <w:rPr>
                <w:rFonts w:hint="eastAsia" w:hAnsi="宋体" w:cs="宋体"/>
                <w:szCs w:val="21"/>
              </w:rPr>
              <w:t>足球竞赛规则与比赛</w:t>
            </w:r>
          </w:p>
        </w:tc>
        <w:tc>
          <w:tcPr>
            <w:tcW w:w="2688" w:type="dxa"/>
            <w:vAlign w:val="center"/>
          </w:tcPr>
          <w:p>
            <w:pPr>
              <w:pStyle w:val="2"/>
              <w:spacing w:beforeLines="50" w:afterLines="50"/>
              <w:jc w:val="center"/>
              <w:rPr>
                <w:rFonts w:hAnsi="宋体" w:cs="宋体"/>
              </w:rPr>
            </w:pPr>
            <w:r>
              <w:rPr>
                <w:rFonts w:hint="eastAsia" w:hAnsi="宋体" w:cs="宋体"/>
              </w:rPr>
              <w:t>了解</w:t>
            </w:r>
          </w:p>
        </w:tc>
      </w:tr>
    </w:tbl>
    <w:p>
      <w:pPr>
        <w:spacing w:beforeLines="50" w:afterLines="50" w:line="360" w:lineRule="auto"/>
        <w:ind w:firstLine="420" w:firstLineChars="200"/>
        <w:rPr>
          <w:rFonts w:ascii="宋体" w:hAnsi="宋体" w:eastAsia="宋体"/>
          <w:szCs w:val="21"/>
        </w:rPr>
      </w:pPr>
      <w:r>
        <w:rPr>
          <w:rFonts w:hint="eastAsia" w:ascii="宋体" w:hAnsi="宋体" w:eastAsia="宋体"/>
          <w:szCs w:val="21"/>
        </w:rPr>
        <w:t xml:space="preserve">（大类基础课程、专业教学课程及开放选修课程按照本科教学手册中各专业拟定的毕业要求填写“对应毕业要求”栏。通识教育课程含通识选修课程、新生研讨课程及公共基础课程，面向专业为工科、师范、医学等有专业认证标准的专业，按照专业认证通用标准填写“对应毕业要求”栏；面向其他尚未有专业认证标准的专业，按照本科教学手册中各专业拟定的毕业要求填写“对应毕业要求”栏。），                         </w:t>
      </w:r>
    </w:p>
    <w:p>
      <w:pPr>
        <w:spacing w:beforeLines="50" w:afterLines="50"/>
        <w:ind w:firstLine="562" w:firstLineChars="200"/>
        <w:rPr>
          <w:rFonts w:ascii="黑体" w:hAnsi="黑体" w:eastAsia="黑体"/>
          <w:b/>
          <w:sz w:val="28"/>
          <w:szCs w:val="28"/>
        </w:rPr>
      </w:pPr>
      <w:r>
        <w:rPr>
          <w:rFonts w:hint="eastAsia" w:ascii="黑体" w:hAnsi="黑体" w:eastAsia="黑体"/>
          <w:b/>
          <w:sz w:val="28"/>
          <w:szCs w:val="28"/>
        </w:rPr>
        <w:t>三、教学内容</w:t>
      </w:r>
    </w:p>
    <w:p>
      <w:pPr>
        <w:spacing w:beforeLines="50" w:afterLines="50"/>
        <w:rPr>
          <w:rFonts w:ascii="宋体" w:hAnsi="宋体" w:eastAsia="宋体"/>
        </w:rPr>
      </w:pPr>
      <w:r>
        <w:rPr>
          <w:rFonts w:hint="eastAsia" w:ascii="宋体" w:hAnsi="宋体" w:eastAsia="宋体"/>
        </w:rPr>
        <w:t>（具体描述各章节教学目标、教学内容等。实验课程可按实验模块描述）</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1、足球专项准备活动与身体素质练习：足球运动专项准备活动与身体素质的提高与强化练习。</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2、足球技术</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（1）球感球性练习：原地球性球感练习、活动球性球感练习、空中球性球感练习。</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（2）传接球技术练习：脚内侧传接球技术、脚背正面传接球技术、脚背内侧传接球技术、脚背外侧传接球技术。</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（3）运球与运球过人技术练习：运球技术练习、运球过人技术练习、假动作技术练习。</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（4）抢球技术练习：正面抢球技术、侧面抢球技术。</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（5）守门员技术练习：步伐练习、接球技术、发球技术。</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3、足球战术</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（1）进攻战术：个人进攻战术、小组进攻战术</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（2）防守战术：个人防守战术、小组防守战术。</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4、技能强化与提高。</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（1）技、战术运用能力。        </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（2）讲解、观察、纠错能力。</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（3）教学训练与比赛。</w:t>
      </w:r>
    </w:p>
    <w:p>
      <w:pPr>
        <w:widowControl/>
        <w:spacing w:beforeLines="50" w:afterLines="50"/>
        <w:ind w:firstLine="562" w:firstLineChars="200"/>
        <w:jc w:val="left"/>
      </w:pPr>
      <w:r>
        <w:rPr>
          <w:rFonts w:hint="eastAsia" w:ascii="黑体" w:hAnsi="黑体" w:eastAsia="黑体"/>
          <w:b/>
          <w:sz w:val="28"/>
          <w:szCs w:val="28"/>
        </w:rPr>
        <w:t>四、学时分配</w:t>
      </w:r>
      <w:r>
        <w:rPr>
          <w:rFonts w:hint="eastAsia" w:ascii="宋体" w:hAnsi="宋体" w:eastAsia="宋体"/>
          <w:szCs w:val="21"/>
        </w:rPr>
        <w:t>（四号黑体）</w:t>
      </w:r>
    </w:p>
    <w:p>
      <w:pPr>
        <w:widowControl/>
        <w:spacing w:beforeLines="50" w:afterLines="50"/>
        <w:jc w:val="center"/>
        <w:rPr>
          <w:rFonts w:ascii="黑体" w:hAnsi="黑体" w:eastAsia="黑体"/>
          <w:b/>
          <w:sz w:val="24"/>
          <w:szCs w:val="24"/>
        </w:rPr>
      </w:pPr>
      <w:r>
        <w:rPr>
          <w:rFonts w:hint="eastAsia" w:ascii="宋体" w:hAnsi="宋体" w:eastAsia="宋体"/>
          <w:b/>
          <w:szCs w:val="21"/>
        </w:rPr>
        <w:t>表2：各章节的具体内容和学时分配表</w:t>
      </w:r>
      <w:r>
        <w:rPr>
          <w:rFonts w:hint="eastAsia" w:ascii="宋体" w:hAnsi="宋体" w:eastAsia="宋体"/>
          <w:szCs w:val="21"/>
        </w:rPr>
        <w:t>（五号宋体）</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章节</w:t>
            </w:r>
          </w:p>
        </w:tc>
        <w:tc>
          <w:tcPr>
            <w:tcW w:w="2765" w:type="dxa"/>
            <w:vAlign w:val="center"/>
          </w:tcPr>
          <w:p>
            <w:pPr>
              <w:widowControl/>
              <w:spacing w:beforeLines="50" w:afterLines="50"/>
              <w:jc w:val="center"/>
              <w:rPr>
                <w:rFonts w:ascii="宋体" w:hAnsi="宋体" w:eastAsia="宋体"/>
              </w:rPr>
            </w:pPr>
            <w:r>
              <w:rPr>
                <w:rFonts w:hint="eastAsia" w:ascii="宋体" w:hAnsi="宋体" w:eastAsia="宋体"/>
              </w:rPr>
              <w:t>章节内容</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第一章</w:t>
            </w:r>
          </w:p>
        </w:tc>
        <w:tc>
          <w:tcPr>
            <w:tcW w:w="2765" w:type="dxa"/>
            <w:vAlign w:val="center"/>
          </w:tcPr>
          <w:p>
            <w:pPr>
              <w:widowControl/>
              <w:spacing w:beforeLines="50" w:afterLines="50"/>
              <w:jc w:val="center"/>
              <w:rPr>
                <w:rFonts w:ascii="宋体" w:hAnsi="宋体" w:eastAsia="宋体"/>
                <w:szCs w:val="21"/>
              </w:rPr>
            </w:pPr>
            <w:r>
              <w:rPr>
                <w:rFonts w:ascii="宋体" w:hAnsi="宋体" w:eastAsia="宋体"/>
                <w:szCs w:val="21"/>
              </w:rPr>
              <w:t>足球专项准备活动</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第二章</w:t>
            </w:r>
          </w:p>
        </w:tc>
        <w:tc>
          <w:tcPr>
            <w:tcW w:w="276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足球运动基本技、战术</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第三章</w:t>
            </w:r>
          </w:p>
        </w:tc>
        <w:tc>
          <w:tcPr>
            <w:tcW w:w="276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足球技能强化与提高</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第四章</w:t>
            </w:r>
          </w:p>
        </w:tc>
        <w:tc>
          <w:tcPr>
            <w:tcW w:w="276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足球竞赛规则</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第五章</w:t>
            </w:r>
          </w:p>
        </w:tc>
        <w:tc>
          <w:tcPr>
            <w:tcW w:w="276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教学比赛</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考 核</w:t>
            </w:r>
          </w:p>
        </w:tc>
        <w:tc>
          <w:tcPr>
            <w:tcW w:w="276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技术（技评、达标）</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总 计</w:t>
            </w:r>
          </w:p>
        </w:tc>
        <w:tc>
          <w:tcPr>
            <w:tcW w:w="2765" w:type="dxa"/>
            <w:vAlign w:val="center"/>
          </w:tcPr>
          <w:p>
            <w:pPr>
              <w:widowControl/>
              <w:spacing w:beforeLines="50" w:afterLines="50"/>
              <w:jc w:val="center"/>
              <w:rPr>
                <w:rFonts w:ascii="宋体" w:hAnsi="宋体" w:eastAsia="宋体"/>
                <w:szCs w:val="21"/>
              </w:rPr>
            </w:pPr>
          </w:p>
        </w:tc>
        <w:tc>
          <w:tcPr>
            <w:tcW w:w="2766" w:type="dxa"/>
            <w:vAlign w:val="center"/>
          </w:tcPr>
          <w:p>
            <w:pPr>
              <w:widowControl/>
              <w:spacing w:beforeLines="50" w:afterLines="50"/>
              <w:jc w:val="center"/>
              <w:rPr>
                <w:rFonts w:ascii="宋体" w:hAnsi="宋体" w:eastAsia="宋体"/>
              </w:rPr>
            </w:pPr>
            <w:r>
              <w:rPr>
                <w:rFonts w:hint="eastAsia" w:ascii="宋体" w:hAnsi="宋体" w:eastAsia="宋体"/>
                <w:color w:val="C00000"/>
              </w:rPr>
              <w:t>72</w:t>
            </w:r>
          </w:p>
        </w:tc>
      </w:tr>
    </w:tbl>
    <w:p>
      <w:pPr>
        <w:widowControl/>
        <w:spacing w:beforeLines="50" w:afterLines="50"/>
        <w:ind w:firstLine="562" w:firstLineChars="200"/>
        <w:jc w:val="left"/>
        <w:rPr>
          <w:rFonts w:ascii="黑体" w:hAnsi="黑体" w:eastAsia="黑体"/>
          <w:b/>
          <w:sz w:val="28"/>
          <w:szCs w:val="28"/>
        </w:rPr>
      </w:pPr>
    </w:p>
    <w:p>
      <w:pPr>
        <w:widowControl/>
        <w:spacing w:beforeLines="50" w:afterLines="50"/>
        <w:ind w:firstLine="562" w:firstLineChars="200"/>
        <w:jc w:val="left"/>
        <w:rPr>
          <w:rFonts w:ascii="黑体" w:hAnsi="黑体" w:eastAsia="黑体"/>
          <w:b/>
          <w:sz w:val="28"/>
          <w:szCs w:val="28"/>
        </w:rPr>
      </w:pPr>
    </w:p>
    <w:p>
      <w:pPr>
        <w:widowControl/>
        <w:spacing w:beforeLines="50" w:afterLines="50"/>
        <w:ind w:firstLine="562" w:firstLineChars="200"/>
        <w:jc w:val="left"/>
        <w:rPr>
          <w:rFonts w:ascii="黑体" w:hAnsi="黑体" w:eastAsia="黑体"/>
          <w:b/>
          <w:sz w:val="28"/>
          <w:szCs w:val="28"/>
        </w:rPr>
      </w:pPr>
    </w:p>
    <w:p>
      <w:pPr>
        <w:widowControl/>
        <w:spacing w:beforeLines="50" w:afterLines="50"/>
        <w:ind w:firstLine="562" w:firstLineChars="200"/>
        <w:jc w:val="left"/>
      </w:pPr>
      <w:r>
        <w:rPr>
          <w:rFonts w:hint="eastAsia" w:ascii="黑体" w:hAnsi="黑体" w:eastAsia="黑体"/>
          <w:b/>
          <w:sz w:val="28"/>
          <w:szCs w:val="28"/>
        </w:rPr>
        <w:t>五、教学进度</w:t>
      </w:r>
      <w:r>
        <w:rPr>
          <w:rFonts w:hint="eastAsia" w:ascii="宋体" w:hAnsi="宋体" w:eastAsia="宋体"/>
        </w:rPr>
        <w:t>（四号黑体）</w:t>
      </w:r>
    </w:p>
    <w:p>
      <w:pPr>
        <w:widowControl/>
        <w:spacing w:beforeLines="50" w:afterLines="50"/>
        <w:jc w:val="center"/>
        <w:rPr>
          <w:rFonts w:ascii="宋体" w:hAnsi="宋体" w:eastAsia="宋体"/>
          <w:szCs w:val="21"/>
        </w:rPr>
      </w:pPr>
      <w:r>
        <w:rPr>
          <w:rFonts w:hint="eastAsia" w:ascii="宋体" w:hAnsi="宋体" w:eastAsia="宋体"/>
          <w:b/>
          <w:szCs w:val="21"/>
        </w:rPr>
        <w:t>表3：教学进度表</w:t>
      </w:r>
      <w:r>
        <w:rPr>
          <w:rFonts w:hint="eastAsia" w:ascii="宋体" w:hAnsi="宋体" w:eastAsia="宋体"/>
          <w:szCs w:val="21"/>
        </w:rPr>
        <w:t>（五号宋体）</w:t>
      </w:r>
    </w:p>
    <w:tbl>
      <w:tblPr>
        <w:tblStyle w:val="7"/>
        <w:tblW w:w="95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0"/>
        <w:gridCol w:w="1092"/>
        <w:gridCol w:w="2148"/>
        <w:gridCol w:w="1452"/>
        <w:gridCol w:w="1186"/>
        <w:gridCol w:w="1597"/>
        <w:gridCol w:w="10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2" w:hRule="atLeast"/>
          <w:jc w:val="center"/>
        </w:trPr>
        <w:tc>
          <w:tcPr>
            <w:tcW w:w="1040"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周次</w:t>
            </w:r>
          </w:p>
        </w:tc>
        <w:tc>
          <w:tcPr>
            <w:tcW w:w="1092"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日期</w:t>
            </w:r>
          </w:p>
        </w:tc>
        <w:tc>
          <w:tcPr>
            <w:tcW w:w="2148"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章节名称</w:t>
            </w:r>
          </w:p>
        </w:tc>
        <w:tc>
          <w:tcPr>
            <w:tcW w:w="1452"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内容提要</w:t>
            </w:r>
          </w:p>
        </w:tc>
        <w:tc>
          <w:tcPr>
            <w:tcW w:w="1186"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授课时数</w:t>
            </w:r>
          </w:p>
        </w:tc>
        <w:tc>
          <w:tcPr>
            <w:tcW w:w="1597"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作业及要求</w:t>
            </w:r>
          </w:p>
        </w:tc>
        <w:tc>
          <w:tcPr>
            <w:tcW w:w="1041"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1040"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1-2</w:t>
            </w:r>
          </w:p>
        </w:tc>
        <w:tc>
          <w:tcPr>
            <w:tcW w:w="1092" w:type="dxa"/>
            <w:vAlign w:val="center"/>
          </w:tcPr>
          <w:p>
            <w:pPr>
              <w:widowControl/>
              <w:spacing w:beforeLines="50" w:afterLines="50"/>
              <w:jc w:val="center"/>
              <w:rPr>
                <w:rFonts w:ascii="宋体" w:hAnsi="宋体" w:eastAsia="宋体"/>
                <w:szCs w:val="21"/>
              </w:rPr>
            </w:pPr>
          </w:p>
        </w:tc>
        <w:tc>
          <w:tcPr>
            <w:tcW w:w="2148" w:type="dxa"/>
            <w:vAlign w:val="center"/>
          </w:tcPr>
          <w:p>
            <w:pPr>
              <w:widowControl/>
              <w:spacing w:beforeLines="50" w:afterLines="50"/>
              <w:jc w:val="center"/>
              <w:rPr>
                <w:rFonts w:ascii="宋体" w:hAnsi="宋体" w:eastAsia="宋体"/>
                <w:szCs w:val="21"/>
              </w:rPr>
            </w:pPr>
            <w:r>
              <w:rPr>
                <w:rFonts w:ascii="宋体" w:hAnsi="宋体" w:eastAsia="宋体"/>
                <w:szCs w:val="21"/>
              </w:rPr>
              <w:t>足球专项准备活动</w:t>
            </w:r>
          </w:p>
        </w:tc>
        <w:tc>
          <w:tcPr>
            <w:tcW w:w="1452" w:type="dxa"/>
            <w:vAlign w:val="center"/>
          </w:tcPr>
          <w:p>
            <w:pPr>
              <w:widowControl/>
              <w:spacing w:beforeLines="50" w:afterLines="50"/>
              <w:jc w:val="center"/>
              <w:rPr>
                <w:rFonts w:ascii="宋体" w:hAnsi="宋体" w:eastAsia="宋体"/>
                <w:szCs w:val="21"/>
              </w:rPr>
            </w:pPr>
          </w:p>
        </w:tc>
        <w:tc>
          <w:tcPr>
            <w:tcW w:w="1186" w:type="dxa"/>
            <w:vAlign w:val="center"/>
          </w:tcPr>
          <w:p>
            <w:pPr>
              <w:widowControl/>
              <w:spacing w:beforeLines="50" w:afterLines="50"/>
              <w:jc w:val="center"/>
              <w:rPr>
                <w:rFonts w:ascii="宋体" w:hAnsi="宋体" w:eastAsia="宋体"/>
              </w:rPr>
            </w:pPr>
            <w:r>
              <w:rPr>
                <w:rFonts w:hint="eastAsia" w:ascii="宋体" w:hAnsi="宋体" w:eastAsia="宋体"/>
              </w:rPr>
              <w:t>8</w:t>
            </w:r>
          </w:p>
        </w:tc>
        <w:tc>
          <w:tcPr>
            <w:tcW w:w="1597" w:type="dxa"/>
            <w:vAlign w:val="center"/>
          </w:tcPr>
          <w:p>
            <w:pPr>
              <w:widowControl/>
              <w:spacing w:beforeLines="50" w:afterLines="50"/>
              <w:jc w:val="center"/>
              <w:rPr>
                <w:rFonts w:ascii="宋体" w:hAnsi="宋体" w:eastAsia="宋体"/>
                <w:szCs w:val="21"/>
              </w:rPr>
            </w:pPr>
          </w:p>
        </w:tc>
        <w:tc>
          <w:tcPr>
            <w:tcW w:w="1041"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1040"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3-4</w:t>
            </w:r>
          </w:p>
        </w:tc>
        <w:tc>
          <w:tcPr>
            <w:tcW w:w="1092" w:type="dxa"/>
            <w:vAlign w:val="center"/>
          </w:tcPr>
          <w:p>
            <w:pPr>
              <w:widowControl/>
              <w:spacing w:beforeLines="50" w:afterLines="50"/>
              <w:jc w:val="center"/>
              <w:rPr>
                <w:rFonts w:ascii="宋体" w:hAnsi="宋体" w:eastAsia="宋体"/>
                <w:szCs w:val="21"/>
              </w:rPr>
            </w:pPr>
          </w:p>
        </w:tc>
        <w:tc>
          <w:tcPr>
            <w:tcW w:w="2148"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足球运动基本技、战术</w:t>
            </w:r>
          </w:p>
        </w:tc>
        <w:tc>
          <w:tcPr>
            <w:tcW w:w="1452" w:type="dxa"/>
            <w:vAlign w:val="center"/>
          </w:tcPr>
          <w:p>
            <w:pPr>
              <w:widowControl/>
              <w:spacing w:beforeLines="50" w:afterLines="50"/>
              <w:jc w:val="center"/>
              <w:rPr>
                <w:rFonts w:ascii="宋体" w:hAnsi="宋体" w:eastAsia="宋体"/>
                <w:szCs w:val="21"/>
              </w:rPr>
            </w:pPr>
          </w:p>
        </w:tc>
        <w:tc>
          <w:tcPr>
            <w:tcW w:w="1186" w:type="dxa"/>
            <w:vAlign w:val="center"/>
          </w:tcPr>
          <w:p>
            <w:pPr>
              <w:widowControl/>
              <w:spacing w:beforeLines="50" w:afterLines="50"/>
              <w:jc w:val="center"/>
              <w:rPr>
                <w:rFonts w:ascii="宋体" w:hAnsi="宋体" w:eastAsia="宋体"/>
              </w:rPr>
            </w:pPr>
            <w:r>
              <w:rPr>
                <w:rFonts w:hint="eastAsia" w:ascii="宋体" w:hAnsi="宋体" w:eastAsia="宋体"/>
              </w:rPr>
              <w:t>8</w:t>
            </w:r>
          </w:p>
        </w:tc>
        <w:tc>
          <w:tcPr>
            <w:tcW w:w="1597" w:type="dxa"/>
            <w:vAlign w:val="center"/>
          </w:tcPr>
          <w:p>
            <w:pPr>
              <w:widowControl/>
              <w:spacing w:beforeLines="50" w:afterLines="50"/>
              <w:jc w:val="center"/>
              <w:rPr>
                <w:rFonts w:ascii="宋体" w:hAnsi="宋体" w:eastAsia="宋体"/>
                <w:szCs w:val="21"/>
              </w:rPr>
            </w:pPr>
          </w:p>
        </w:tc>
        <w:tc>
          <w:tcPr>
            <w:tcW w:w="1041"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040"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5-10</w:t>
            </w:r>
          </w:p>
        </w:tc>
        <w:tc>
          <w:tcPr>
            <w:tcW w:w="1092" w:type="dxa"/>
            <w:vAlign w:val="center"/>
          </w:tcPr>
          <w:p>
            <w:pPr>
              <w:widowControl/>
              <w:spacing w:beforeLines="50" w:afterLines="50"/>
              <w:jc w:val="center"/>
              <w:rPr>
                <w:rFonts w:ascii="宋体" w:hAnsi="宋体" w:eastAsia="宋体"/>
                <w:szCs w:val="21"/>
              </w:rPr>
            </w:pPr>
          </w:p>
        </w:tc>
        <w:tc>
          <w:tcPr>
            <w:tcW w:w="2148"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足球技能强化与提高</w:t>
            </w:r>
          </w:p>
        </w:tc>
        <w:tc>
          <w:tcPr>
            <w:tcW w:w="1452" w:type="dxa"/>
            <w:vAlign w:val="center"/>
          </w:tcPr>
          <w:p>
            <w:pPr>
              <w:widowControl/>
              <w:spacing w:beforeLines="50" w:afterLines="50"/>
              <w:jc w:val="center"/>
              <w:rPr>
                <w:rFonts w:ascii="宋体" w:hAnsi="宋体" w:eastAsia="宋体"/>
                <w:szCs w:val="21"/>
              </w:rPr>
            </w:pPr>
          </w:p>
        </w:tc>
        <w:tc>
          <w:tcPr>
            <w:tcW w:w="1186" w:type="dxa"/>
            <w:vAlign w:val="center"/>
          </w:tcPr>
          <w:p>
            <w:pPr>
              <w:widowControl/>
              <w:spacing w:beforeLines="50" w:afterLines="50"/>
              <w:jc w:val="center"/>
              <w:rPr>
                <w:rFonts w:ascii="宋体" w:hAnsi="宋体" w:eastAsia="宋体"/>
              </w:rPr>
            </w:pPr>
            <w:r>
              <w:rPr>
                <w:rFonts w:hint="eastAsia" w:ascii="宋体" w:hAnsi="宋体" w:eastAsia="宋体"/>
              </w:rPr>
              <w:t>24</w:t>
            </w:r>
          </w:p>
        </w:tc>
        <w:tc>
          <w:tcPr>
            <w:tcW w:w="1597" w:type="dxa"/>
            <w:vAlign w:val="center"/>
          </w:tcPr>
          <w:p>
            <w:pPr>
              <w:widowControl/>
              <w:spacing w:beforeLines="50" w:afterLines="50"/>
              <w:jc w:val="center"/>
              <w:rPr>
                <w:rFonts w:ascii="宋体" w:hAnsi="宋体" w:eastAsia="宋体"/>
                <w:szCs w:val="21"/>
              </w:rPr>
            </w:pPr>
          </w:p>
        </w:tc>
        <w:tc>
          <w:tcPr>
            <w:tcW w:w="1041"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040"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11</w:t>
            </w:r>
          </w:p>
        </w:tc>
        <w:tc>
          <w:tcPr>
            <w:tcW w:w="1092" w:type="dxa"/>
            <w:vAlign w:val="center"/>
          </w:tcPr>
          <w:p>
            <w:pPr>
              <w:widowControl/>
              <w:spacing w:beforeLines="50" w:afterLines="50"/>
              <w:jc w:val="center"/>
              <w:rPr>
                <w:rFonts w:ascii="宋体" w:hAnsi="宋体" w:eastAsia="宋体"/>
                <w:szCs w:val="21"/>
              </w:rPr>
            </w:pPr>
          </w:p>
        </w:tc>
        <w:tc>
          <w:tcPr>
            <w:tcW w:w="2148"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足球竞赛规则</w:t>
            </w:r>
          </w:p>
        </w:tc>
        <w:tc>
          <w:tcPr>
            <w:tcW w:w="1452" w:type="dxa"/>
            <w:vAlign w:val="center"/>
          </w:tcPr>
          <w:p>
            <w:pPr>
              <w:widowControl/>
              <w:spacing w:beforeLines="50" w:afterLines="50"/>
              <w:jc w:val="center"/>
              <w:rPr>
                <w:rFonts w:ascii="宋体" w:hAnsi="宋体" w:eastAsia="宋体"/>
                <w:szCs w:val="21"/>
              </w:rPr>
            </w:pPr>
          </w:p>
        </w:tc>
        <w:tc>
          <w:tcPr>
            <w:tcW w:w="1186" w:type="dxa"/>
            <w:vAlign w:val="center"/>
          </w:tcPr>
          <w:p>
            <w:pPr>
              <w:widowControl/>
              <w:spacing w:beforeLines="50" w:afterLines="50"/>
              <w:jc w:val="center"/>
              <w:rPr>
                <w:rFonts w:ascii="宋体" w:hAnsi="宋体" w:eastAsia="宋体"/>
              </w:rPr>
            </w:pPr>
            <w:r>
              <w:rPr>
                <w:rFonts w:hint="eastAsia" w:ascii="宋体" w:hAnsi="宋体" w:eastAsia="宋体"/>
              </w:rPr>
              <w:t>4</w:t>
            </w:r>
          </w:p>
        </w:tc>
        <w:tc>
          <w:tcPr>
            <w:tcW w:w="1597" w:type="dxa"/>
            <w:vAlign w:val="center"/>
          </w:tcPr>
          <w:p>
            <w:pPr>
              <w:widowControl/>
              <w:spacing w:beforeLines="50" w:afterLines="50"/>
              <w:jc w:val="center"/>
              <w:rPr>
                <w:rFonts w:ascii="宋体" w:hAnsi="宋体" w:eastAsia="宋体"/>
                <w:szCs w:val="21"/>
              </w:rPr>
            </w:pPr>
          </w:p>
        </w:tc>
        <w:tc>
          <w:tcPr>
            <w:tcW w:w="1041"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040"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12-17</w:t>
            </w:r>
          </w:p>
        </w:tc>
        <w:tc>
          <w:tcPr>
            <w:tcW w:w="1092" w:type="dxa"/>
            <w:vAlign w:val="center"/>
          </w:tcPr>
          <w:p>
            <w:pPr>
              <w:widowControl/>
              <w:spacing w:beforeLines="50" w:afterLines="50"/>
              <w:jc w:val="center"/>
              <w:rPr>
                <w:rFonts w:ascii="宋体" w:hAnsi="宋体" w:eastAsia="宋体"/>
                <w:szCs w:val="21"/>
              </w:rPr>
            </w:pPr>
          </w:p>
        </w:tc>
        <w:tc>
          <w:tcPr>
            <w:tcW w:w="2148"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教学比赛</w:t>
            </w:r>
          </w:p>
        </w:tc>
        <w:tc>
          <w:tcPr>
            <w:tcW w:w="1452" w:type="dxa"/>
            <w:vAlign w:val="center"/>
          </w:tcPr>
          <w:p>
            <w:pPr>
              <w:widowControl/>
              <w:spacing w:beforeLines="50" w:afterLines="50"/>
              <w:jc w:val="center"/>
              <w:rPr>
                <w:rFonts w:ascii="宋体" w:hAnsi="宋体" w:eastAsia="宋体"/>
                <w:szCs w:val="21"/>
              </w:rPr>
            </w:pPr>
          </w:p>
        </w:tc>
        <w:tc>
          <w:tcPr>
            <w:tcW w:w="1186" w:type="dxa"/>
            <w:vAlign w:val="center"/>
          </w:tcPr>
          <w:p>
            <w:pPr>
              <w:widowControl/>
              <w:spacing w:beforeLines="50" w:afterLines="50"/>
              <w:jc w:val="center"/>
              <w:rPr>
                <w:rFonts w:ascii="宋体" w:hAnsi="宋体" w:eastAsia="宋体"/>
              </w:rPr>
            </w:pPr>
            <w:r>
              <w:rPr>
                <w:rFonts w:hint="eastAsia" w:ascii="宋体" w:hAnsi="宋体" w:eastAsia="宋体"/>
              </w:rPr>
              <w:t>24</w:t>
            </w:r>
          </w:p>
        </w:tc>
        <w:tc>
          <w:tcPr>
            <w:tcW w:w="1597" w:type="dxa"/>
            <w:vAlign w:val="center"/>
          </w:tcPr>
          <w:p>
            <w:pPr>
              <w:widowControl/>
              <w:spacing w:beforeLines="50" w:afterLines="50"/>
              <w:jc w:val="center"/>
              <w:rPr>
                <w:rFonts w:ascii="宋体" w:hAnsi="宋体" w:eastAsia="宋体"/>
                <w:szCs w:val="21"/>
              </w:rPr>
            </w:pPr>
          </w:p>
        </w:tc>
        <w:tc>
          <w:tcPr>
            <w:tcW w:w="1041"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040"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18</w:t>
            </w:r>
          </w:p>
        </w:tc>
        <w:tc>
          <w:tcPr>
            <w:tcW w:w="1092" w:type="dxa"/>
            <w:vAlign w:val="center"/>
          </w:tcPr>
          <w:p>
            <w:pPr>
              <w:widowControl/>
              <w:spacing w:beforeLines="50" w:afterLines="50"/>
              <w:jc w:val="center"/>
              <w:rPr>
                <w:rFonts w:ascii="宋体" w:hAnsi="宋体" w:eastAsia="宋体"/>
                <w:szCs w:val="21"/>
              </w:rPr>
            </w:pPr>
          </w:p>
        </w:tc>
        <w:tc>
          <w:tcPr>
            <w:tcW w:w="2148" w:type="dxa"/>
            <w:vAlign w:val="center"/>
          </w:tcPr>
          <w:p>
            <w:pPr>
              <w:widowControl/>
              <w:spacing w:beforeLines="50" w:afterLines="50"/>
              <w:jc w:val="left"/>
              <w:rPr>
                <w:rFonts w:ascii="宋体" w:hAnsi="宋体" w:eastAsia="宋体"/>
                <w:szCs w:val="21"/>
              </w:rPr>
            </w:pPr>
            <w:r>
              <w:rPr>
                <w:rFonts w:hint="eastAsia" w:ascii="宋体" w:hAnsi="宋体" w:eastAsia="宋体"/>
                <w:szCs w:val="21"/>
              </w:rPr>
              <w:t>技术（技评、达标）</w:t>
            </w:r>
          </w:p>
        </w:tc>
        <w:tc>
          <w:tcPr>
            <w:tcW w:w="1452" w:type="dxa"/>
            <w:vAlign w:val="center"/>
          </w:tcPr>
          <w:p>
            <w:pPr>
              <w:widowControl/>
              <w:spacing w:beforeLines="50" w:afterLines="50"/>
              <w:jc w:val="center"/>
              <w:rPr>
                <w:rFonts w:ascii="宋体" w:hAnsi="宋体" w:eastAsia="宋体"/>
                <w:szCs w:val="21"/>
              </w:rPr>
            </w:pPr>
          </w:p>
        </w:tc>
        <w:tc>
          <w:tcPr>
            <w:tcW w:w="1186" w:type="dxa"/>
            <w:vAlign w:val="center"/>
          </w:tcPr>
          <w:p>
            <w:pPr>
              <w:widowControl/>
              <w:spacing w:beforeLines="50" w:afterLines="50"/>
              <w:jc w:val="center"/>
              <w:rPr>
                <w:rFonts w:ascii="宋体" w:hAnsi="宋体" w:eastAsia="宋体"/>
              </w:rPr>
            </w:pPr>
            <w:r>
              <w:rPr>
                <w:rFonts w:hint="eastAsia" w:ascii="宋体" w:hAnsi="宋体" w:eastAsia="宋体"/>
              </w:rPr>
              <w:t>4</w:t>
            </w:r>
          </w:p>
        </w:tc>
        <w:tc>
          <w:tcPr>
            <w:tcW w:w="1597" w:type="dxa"/>
            <w:vAlign w:val="center"/>
          </w:tcPr>
          <w:p>
            <w:pPr>
              <w:widowControl/>
              <w:spacing w:beforeLines="50" w:afterLines="50"/>
              <w:jc w:val="center"/>
              <w:rPr>
                <w:rFonts w:ascii="宋体" w:hAnsi="宋体" w:eastAsia="宋体"/>
                <w:szCs w:val="21"/>
              </w:rPr>
            </w:pPr>
          </w:p>
        </w:tc>
        <w:tc>
          <w:tcPr>
            <w:tcW w:w="1041" w:type="dxa"/>
            <w:vAlign w:val="center"/>
          </w:tcPr>
          <w:p>
            <w:pPr>
              <w:widowControl/>
              <w:spacing w:beforeLines="50" w:afterLines="50"/>
              <w:jc w:val="center"/>
              <w:rPr>
                <w:rFonts w:ascii="宋体" w:hAnsi="宋体" w:eastAsia="宋体"/>
                <w:szCs w:val="21"/>
              </w:rPr>
            </w:pPr>
          </w:p>
        </w:tc>
      </w:tr>
    </w:tbl>
    <w:p>
      <w:pPr>
        <w:widowControl/>
        <w:spacing w:beforeLines="50" w:afterLines="50"/>
        <w:ind w:firstLine="420" w:firstLineChars="200"/>
        <w:jc w:val="left"/>
        <w:rPr>
          <w:rFonts w:ascii="黑体" w:hAnsi="黑体" w:eastAsia="黑体"/>
          <w:b/>
          <w:sz w:val="28"/>
          <w:szCs w:val="28"/>
        </w:rPr>
      </w:pPr>
      <w:r>
        <w:rPr>
          <w:rFonts w:hint="eastAsia" w:ascii="Times New Roman Regular" w:hAnsi="Times New Roman Regular" w:eastAsia="宋体" w:cs="Times New Roman Regular"/>
          <w:color w:val="000000"/>
          <w:sz w:val="21"/>
          <w:szCs w:val="21"/>
        </w:rPr>
        <w:t>本课程按照课程思政要求进行随堂教学。</w:t>
      </w:r>
      <w:bookmarkStart w:id="0" w:name="_GoBack"/>
      <w:bookmarkEnd w:id="0"/>
    </w:p>
    <w:p>
      <w:pPr>
        <w:widowControl/>
        <w:spacing w:beforeLines="50" w:afterLines="50"/>
        <w:ind w:firstLine="562" w:firstLineChars="200"/>
        <w:jc w:val="left"/>
      </w:pPr>
      <w:r>
        <w:rPr>
          <w:rFonts w:hint="eastAsia" w:ascii="黑体" w:hAnsi="黑体" w:eastAsia="黑体"/>
          <w:b/>
          <w:sz w:val="28"/>
          <w:szCs w:val="28"/>
        </w:rPr>
        <w:t>六、教材及参考书目</w:t>
      </w:r>
      <w:r>
        <w:rPr>
          <w:rFonts w:hint="eastAsia" w:ascii="宋体" w:hAnsi="宋体" w:eastAsia="宋体"/>
        </w:rPr>
        <w:t>（四号黑体）</w:t>
      </w:r>
    </w:p>
    <w:p>
      <w:pPr>
        <w:widowControl/>
        <w:spacing w:beforeLines="50" w:afterLines="50"/>
        <w:ind w:firstLine="420" w:firstLineChars="200"/>
        <w:jc w:val="left"/>
        <w:rPr>
          <w:rFonts w:ascii="宋体" w:hAnsi="宋体" w:eastAsia="宋体"/>
        </w:rPr>
      </w:pPr>
      <w:r>
        <w:rPr>
          <w:rFonts w:hint="eastAsia" w:ascii="宋体" w:hAnsi="宋体" w:eastAsia="宋体"/>
        </w:rPr>
        <w:t>（电子学术资源、纸质学术资源等，按规范方式列举）（五号宋体）</w:t>
      </w:r>
    </w:p>
    <w:p>
      <w:pPr>
        <w:widowControl/>
        <w:numPr>
          <w:ilvl w:val="0"/>
          <w:numId w:val="1"/>
        </w:numPr>
        <w:spacing w:beforeLines="50" w:afterLines="50"/>
        <w:jc w:val="left"/>
        <w:rPr>
          <w:rFonts w:ascii="宋体" w:hAnsi="宋体" w:eastAsia="宋体"/>
        </w:rPr>
      </w:pPr>
      <w:r>
        <w:rPr>
          <w:rFonts w:ascii="宋体" w:hAnsi="宋体" w:eastAsia="宋体"/>
        </w:rPr>
        <w:t>(英) 亚当·欧文, (法) 亚历山大·德拉尔著 魏宏文译</w:t>
      </w:r>
      <w:r>
        <w:rPr>
          <w:rFonts w:hint="eastAsia" w:ascii="宋体" w:hAnsi="宋体" w:eastAsia="宋体"/>
        </w:rPr>
        <w:t>，《</w:t>
      </w:r>
      <w:r>
        <w:fldChar w:fldCharType="begin"/>
      </w:r>
      <w:r>
        <w:instrText xml:space="preserve"> HYPERLINK "http://202.195.136.14:8080/opac/openlink.php?title=%E8%B6%B3%E7%90%83%E4%BD%93%E8%83%BD%E8%AE%AD%E7%BB%83%E6%96%B9%E6%B3%95" </w:instrText>
      </w:r>
      <w:r>
        <w:fldChar w:fldCharType="separate"/>
      </w:r>
      <w:r>
        <w:rPr>
          <w:rFonts w:ascii="宋体" w:hAnsi="宋体" w:eastAsia="宋体"/>
        </w:rPr>
        <w:t>足球体能训练方法</w:t>
      </w:r>
      <w:r>
        <w:rPr>
          <w:rFonts w:ascii="宋体" w:hAnsi="宋体" w:eastAsia="宋体"/>
        </w:rPr>
        <w:fldChar w:fldCharType="end"/>
      </w:r>
      <w:r>
        <w:rPr>
          <w:rFonts w:ascii="宋体" w:hAnsi="宋体" w:eastAsia="宋体"/>
        </w:rPr>
        <w:t>:周期化训练·赛季训练·小场地对抗训练</w:t>
      </w:r>
      <w:r>
        <w:rPr>
          <w:rFonts w:hint="eastAsia" w:ascii="宋体" w:hAnsi="宋体" w:eastAsia="宋体"/>
        </w:rPr>
        <w:t>》，</w:t>
      </w:r>
      <w:r>
        <w:rPr>
          <w:rFonts w:ascii="宋体" w:hAnsi="宋体" w:eastAsia="宋体"/>
        </w:rPr>
        <w:t>北京科学技术出版社,2020</w:t>
      </w:r>
    </w:p>
    <w:p>
      <w:pPr>
        <w:widowControl/>
        <w:numPr>
          <w:ilvl w:val="0"/>
          <w:numId w:val="1"/>
        </w:numPr>
        <w:spacing w:beforeLines="50" w:afterLines="50"/>
        <w:jc w:val="left"/>
        <w:rPr>
          <w:rFonts w:ascii="宋体" w:hAnsi="宋体" w:eastAsia="宋体"/>
        </w:rPr>
      </w:pPr>
      <w:r>
        <w:rPr>
          <w:rFonts w:hint="eastAsia" w:ascii="宋体" w:hAnsi="宋体" w:eastAsia="宋体"/>
        </w:rPr>
        <w:t>中国足球协会，《足球竞赛规则2020/2021》，人民体育出版社，2020年</w:t>
      </w:r>
    </w:p>
    <w:p>
      <w:pPr>
        <w:widowControl/>
        <w:numPr>
          <w:ilvl w:val="0"/>
          <w:numId w:val="1"/>
        </w:numPr>
        <w:spacing w:beforeLines="50" w:afterLines="50"/>
        <w:jc w:val="left"/>
        <w:rPr>
          <w:rFonts w:ascii="宋体" w:hAnsi="宋体" w:eastAsia="宋体"/>
        </w:rPr>
      </w:pPr>
      <w:r>
        <w:rPr>
          <w:rFonts w:hint="eastAsia" w:ascii="宋体" w:hAnsi="宋体" w:eastAsia="宋体"/>
        </w:rPr>
        <w:t>王崇喜，《球类运动</w:t>
      </w:r>
      <w:r>
        <w:rPr>
          <w:rFonts w:ascii="宋体" w:hAnsi="宋体" w:eastAsia="宋体"/>
        </w:rPr>
        <w:t>—</w:t>
      </w:r>
      <w:r>
        <w:rPr>
          <w:rFonts w:hint="eastAsia" w:ascii="宋体" w:hAnsi="宋体" w:eastAsia="宋体"/>
        </w:rPr>
        <w:t>足球》，高等教育出版社，2014年</w:t>
      </w:r>
    </w:p>
    <w:p>
      <w:pPr>
        <w:widowControl/>
        <w:numPr>
          <w:ilvl w:val="0"/>
          <w:numId w:val="1"/>
        </w:numPr>
        <w:spacing w:beforeLines="50" w:afterLines="50"/>
        <w:jc w:val="left"/>
        <w:rPr>
          <w:rFonts w:ascii="宋体" w:hAnsi="宋体" w:eastAsia="宋体"/>
        </w:rPr>
      </w:pPr>
      <w:r>
        <w:rPr>
          <w:rFonts w:ascii="宋体" w:hAnsi="宋体" w:eastAsia="宋体"/>
        </w:rPr>
        <w:t>张廷安, 徐鹏, 肖辉编</w:t>
      </w:r>
      <w:r>
        <w:rPr>
          <w:rFonts w:hint="eastAsia" w:ascii="宋体" w:hAnsi="宋体" w:eastAsia="宋体"/>
        </w:rPr>
        <w:t>，《</w:t>
      </w:r>
      <w:r>
        <w:fldChar w:fldCharType="begin"/>
      </w:r>
      <w:r>
        <w:instrText xml:space="preserve"> HYPERLINK "http://202.195.136.14:8080/opac/openlink.php?title=%E8%B6%B3%E7%90%83%E6%8A%80%E6%9C%AF%E6%95%99%E5%AD%A6%E4%B8%8E%E8%AE%AD%E7%BB%83" </w:instrText>
      </w:r>
      <w:r>
        <w:fldChar w:fldCharType="separate"/>
      </w:r>
      <w:r>
        <w:rPr>
          <w:rFonts w:ascii="宋体" w:hAnsi="宋体" w:eastAsia="宋体"/>
        </w:rPr>
        <w:t>足球技术教学与训练</w:t>
      </w:r>
      <w:r>
        <w:rPr>
          <w:rFonts w:ascii="宋体" w:hAnsi="宋体" w:eastAsia="宋体"/>
        </w:rPr>
        <w:fldChar w:fldCharType="end"/>
      </w:r>
      <w:r>
        <w:rPr>
          <w:rFonts w:hint="eastAsia" w:ascii="宋体" w:hAnsi="宋体" w:eastAsia="宋体"/>
        </w:rPr>
        <w:t>》，北京体育大学出版社，2018年</w:t>
      </w:r>
    </w:p>
    <w:p>
      <w:pPr>
        <w:widowControl/>
        <w:spacing w:beforeLines="50" w:afterLines="50"/>
        <w:jc w:val="left"/>
        <w:rPr>
          <w:rFonts w:ascii="宋体" w:hAnsi="宋体" w:eastAsia="宋体"/>
        </w:rPr>
      </w:pPr>
    </w:p>
    <w:p>
      <w:pPr>
        <w:widowControl/>
        <w:spacing w:beforeLines="50" w:afterLines="50"/>
        <w:ind w:firstLine="562" w:firstLineChars="200"/>
        <w:jc w:val="left"/>
        <w:rPr>
          <w:rFonts w:ascii="宋体" w:hAnsi="宋体" w:eastAsia="宋体"/>
        </w:rPr>
      </w:pPr>
      <w:r>
        <w:rPr>
          <w:rFonts w:hint="eastAsia" w:ascii="黑体" w:hAnsi="黑体" w:eastAsia="黑体"/>
          <w:b/>
          <w:sz w:val="28"/>
          <w:szCs w:val="28"/>
        </w:rPr>
        <w:t xml:space="preserve">七、教学方法 </w:t>
      </w:r>
      <w:r>
        <w:rPr>
          <w:rFonts w:hint="eastAsia" w:ascii="宋体" w:hAnsi="宋体" w:eastAsia="宋体"/>
        </w:rPr>
        <w:t>（四号黑体）</w:t>
      </w:r>
    </w:p>
    <w:p>
      <w:pPr>
        <w:widowControl/>
        <w:spacing w:beforeLines="50" w:afterLines="50"/>
        <w:ind w:firstLine="420" w:firstLineChars="200"/>
        <w:jc w:val="left"/>
        <w:rPr>
          <w:rFonts w:ascii="宋体" w:hAnsi="宋体" w:eastAsia="宋体"/>
        </w:rPr>
      </w:pPr>
      <w:r>
        <w:rPr>
          <w:rFonts w:hint="eastAsia" w:ascii="宋体" w:hAnsi="宋体" w:eastAsia="宋体"/>
        </w:rPr>
        <w:t>（讲授法、讨论法、案例教学法等，按规范方式列举，并进行简要说明）（五号宋体）</w:t>
      </w:r>
    </w:p>
    <w:p>
      <w:pPr>
        <w:widowControl/>
        <w:spacing w:beforeLines="50" w:afterLines="50"/>
        <w:ind w:firstLine="420" w:firstLineChars="200"/>
        <w:jc w:val="left"/>
        <w:rPr>
          <w:rFonts w:ascii="宋体" w:hAnsi="宋体" w:eastAsia="宋体"/>
        </w:rPr>
      </w:pPr>
      <w:r>
        <w:rPr>
          <w:rFonts w:hint="eastAsia" w:ascii="宋体" w:hAnsi="宋体" w:eastAsia="宋体"/>
        </w:rPr>
        <w:t>1．语言法：对需要讲解的内容按照一定层次，精炼、有条理地表达清楚，用词要准确、通俗，不能忽视教学组织过程中的一些细小环节；讲解要具有启发性，鼓励学生勤于思考，积极作答；讲解要具有艺术性，用生动、形象、幽默的语言调动学生的学习热情。</w:t>
      </w:r>
    </w:p>
    <w:p>
      <w:pPr>
        <w:widowControl/>
        <w:spacing w:beforeLines="50" w:afterLines="50"/>
        <w:ind w:firstLine="420" w:firstLineChars="200"/>
        <w:jc w:val="left"/>
        <w:rPr>
          <w:rFonts w:ascii="宋体" w:hAnsi="宋体" w:eastAsia="宋体"/>
        </w:rPr>
      </w:pPr>
      <w:r>
        <w:rPr>
          <w:rFonts w:hint="eastAsia" w:ascii="宋体" w:hAnsi="宋体" w:eastAsia="宋体"/>
        </w:rPr>
        <w:t>2．示范法：教师规范、熟练、轻巧的示范动作有助于学生形成正确的动作表象、调动学生的学习积极性。一般情况下，展示左右距离和运动的动作可采用正面示范，如变向运球等；展示前后运动的动作可采用侧面示范，如踢球时的助跑、踢球腿的摆动等。</w:t>
      </w:r>
    </w:p>
    <w:p>
      <w:pPr>
        <w:widowControl/>
        <w:spacing w:beforeLines="50" w:afterLines="50"/>
        <w:ind w:firstLine="420" w:firstLineChars="200"/>
        <w:jc w:val="left"/>
        <w:rPr>
          <w:rFonts w:ascii="宋体" w:hAnsi="宋体" w:eastAsia="宋体"/>
        </w:rPr>
      </w:pPr>
      <w:r>
        <w:rPr>
          <w:rFonts w:hint="eastAsia" w:ascii="宋体" w:hAnsi="宋体" w:eastAsia="宋体"/>
        </w:rPr>
        <w:t>3．完整教学法与分解教学法：在足球教学中，要根据学生接受能力上的差异和动作的难易与复杂程度来决定采用完整教学法与分解教学法。例如：学习脚背内侧踢球时，学生容易出现支撑脚不能正对出球方向及踢球腿不能以大腿带动小腿摆动的错误，此时可以指导学生进行支撑脚落地和摆动腿摆动的专门性练习，待纠正错误动作后再进行完整练习。</w:t>
      </w:r>
    </w:p>
    <w:p>
      <w:pPr>
        <w:widowControl/>
        <w:spacing w:beforeLines="50" w:afterLines="50"/>
        <w:ind w:firstLine="420" w:firstLineChars="200"/>
        <w:jc w:val="left"/>
        <w:rPr>
          <w:rFonts w:ascii="宋体" w:hAnsi="宋体" w:eastAsia="宋体"/>
        </w:rPr>
      </w:pPr>
      <w:r>
        <w:rPr>
          <w:rFonts w:hint="eastAsia" w:ascii="宋体" w:hAnsi="宋体" w:eastAsia="宋体"/>
        </w:rPr>
        <w:t>4．预防法：教师在教学过程中采用的有效预防错误动作的手段和方法。例如，在教学中，教师应根据教材的内容、特点和可能出现的错误，在教学的开始阶段就预先给予提醒，或在教学手段上注意预防。</w:t>
      </w:r>
    </w:p>
    <w:p>
      <w:pPr>
        <w:widowControl/>
        <w:spacing w:beforeLines="50" w:afterLines="50"/>
        <w:ind w:firstLine="420" w:firstLineChars="200"/>
        <w:jc w:val="left"/>
        <w:rPr>
          <w:rFonts w:ascii="宋体" w:hAnsi="宋体" w:eastAsia="宋体"/>
        </w:rPr>
      </w:pPr>
      <w:r>
        <w:rPr>
          <w:rFonts w:hint="eastAsia" w:ascii="宋体" w:hAnsi="宋体" w:eastAsia="宋体"/>
        </w:rPr>
        <w:t>5．纠正错误法：针对学生出现的错误，教师采用有效纠正错误的手段和方法。例如：为了防止和纠正学生处理球太慢的错误，可在练习中限制触球次数。</w:t>
      </w:r>
    </w:p>
    <w:p>
      <w:pPr>
        <w:widowControl/>
        <w:spacing w:beforeLines="50" w:afterLines="50"/>
        <w:ind w:firstLine="420" w:firstLineChars="200"/>
        <w:jc w:val="left"/>
        <w:rPr>
          <w:rFonts w:ascii="宋体" w:hAnsi="宋体" w:eastAsia="宋体"/>
        </w:rPr>
      </w:pPr>
      <w:r>
        <w:rPr>
          <w:rFonts w:hint="eastAsia" w:ascii="宋体" w:hAnsi="宋体" w:eastAsia="宋体"/>
        </w:rPr>
        <w:t>6.发现法：发现法的特点不是把现成的答案告诉学生，而是让学生运用已有的经验和知识，发挥主观能动性，去探索解决问题的方法。例如，对足球比赛中的技术和比赛阵型的运用、战术打法等问题，可以先不进行讲解，而是让学生在比赛或实践中发现和提出问题，自己总结问题的答案，然后再由教师进行点评和总结。</w:t>
      </w:r>
    </w:p>
    <w:p>
      <w:pPr>
        <w:widowControl/>
        <w:spacing w:beforeLines="50" w:afterLines="50"/>
        <w:ind w:firstLine="420" w:firstLineChars="200"/>
        <w:jc w:val="left"/>
        <w:rPr>
          <w:rFonts w:ascii="宋体" w:hAnsi="宋体" w:eastAsia="宋体"/>
        </w:rPr>
      </w:pPr>
    </w:p>
    <w:p>
      <w:pPr>
        <w:widowControl/>
        <w:spacing w:beforeLines="50" w:afterLines="50"/>
        <w:ind w:firstLine="420" w:firstLineChars="200"/>
        <w:jc w:val="left"/>
        <w:rPr>
          <w:rFonts w:ascii="宋体" w:hAnsi="宋体" w:eastAsia="宋体"/>
        </w:rPr>
      </w:pPr>
    </w:p>
    <w:p>
      <w:pPr>
        <w:widowControl/>
        <w:spacing w:beforeLines="50" w:afterLines="50"/>
        <w:jc w:val="left"/>
        <w:rPr>
          <w:rFonts w:ascii="黑体" w:hAnsi="黑体" w:eastAsia="黑体"/>
          <w:b/>
          <w:sz w:val="28"/>
          <w:szCs w:val="28"/>
        </w:rPr>
      </w:pPr>
      <w:r>
        <w:rPr>
          <w:rFonts w:hint="eastAsia" w:ascii="黑体" w:hAnsi="黑体" w:eastAsia="黑体"/>
          <w:b/>
          <w:sz w:val="28"/>
          <w:szCs w:val="28"/>
        </w:rPr>
        <w:t>八、考核方式及评定方法</w:t>
      </w:r>
      <w:r>
        <w:rPr>
          <w:rFonts w:hint="eastAsia" w:ascii="宋体" w:hAnsi="宋体" w:eastAsia="宋体"/>
        </w:rPr>
        <w:t>（四号黑体）</w:t>
      </w:r>
    </w:p>
    <w:p>
      <w:pPr>
        <w:widowControl/>
        <w:spacing w:beforeLines="50"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r>
        <w:rPr>
          <w:rFonts w:hint="eastAsia" w:ascii="宋体" w:hAnsi="宋体" w:eastAsia="宋体"/>
          <w:szCs w:val="21"/>
        </w:rPr>
        <w:t>（小四号黑体）</w:t>
      </w:r>
    </w:p>
    <w:p>
      <w:pPr>
        <w:widowControl/>
        <w:spacing w:beforeLines="50" w:afterLines="50"/>
        <w:jc w:val="center"/>
        <w:rPr>
          <w:rFonts w:ascii="宋体" w:hAnsi="宋体" w:eastAsia="宋体"/>
          <w:szCs w:val="21"/>
        </w:rPr>
      </w:pPr>
      <w:r>
        <w:rPr>
          <w:rFonts w:hint="eastAsia" w:ascii="宋体" w:hAnsi="宋体" w:eastAsia="宋体"/>
          <w:b/>
          <w:szCs w:val="21"/>
        </w:rPr>
        <w:t>表4：课程考核与课程目标的对应关系表</w:t>
      </w:r>
      <w:r>
        <w:rPr>
          <w:rFonts w:hint="eastAsia" w:ascii="宋体" w:hAnsi="宋体" w:eastAsia="宋体"/>
          <w:szCs w:val="21"/>
        </w:rPr>
        <w:t>（五号宋体）</w:t>
      </w:r>
    </w:p>
    <w:tbl>
      <w:tblPr>
        <w:tblStyle w:val="6"/>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Lines="50" w:afterLines="50"/>
              <w:jc w:val="center"/>
              <w:rPr>
                <w:rFonts w:hAnsi="宋体"/>
                <w:b/>
              </w:rPr>
            </w:pPr>
            <w:r>
              <w:rPr>
                <w:rFonts w:hint="eastAsia" w:hAnsi="宋体"/>
                <w:b/>
              </w:rPr>
              <w:t>课程目标</w:t>
            </w:r>
          </w:p>
        </w:tc>
        <w:tc>
          <w:tcPr>
            <w:tcW w:w="2849" w:type="dxa"/>
            <w:vAlign w:val="center"/>
          </w:tcPr>
          <w:p>
            <w:pPr>
              <w:pStyle w:val="2"/>
              <w:spacing w:beforeLines="50" w:afterLines="50"/>
              <w:jc w:val="center"/>
              <w:rPr>
                <w:rFonts w:hAnsi="宋体"/>
                <w:b/>
              </w:rPr>
            </w:pPr>
            <w:r>
              <w:rPr>
                <w:rFonts w:hint="eastAsia" w:hAnsi="宋体"/>
                <w:b/>
              </w:rPr>
              <w:t>考核要点</w:t>
            </w:r>
          </w:p>
        </w:tc>
        <w:tc>
          <w:tcPr>
            <w:tcW w:w="2849" w:type="dxa"/>
            <w:vAlign w:val="center"/>
          </w:tcPr>
          <w:p>
            <w:pPr>
              <w:pStyle w:val="2"/>
              <w:spacing w:beforeLines="50" w:afterLines="50"/>
              <w:jc w:val="center"/>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Lines="50" w:afterLines="50"/>
              <w:jc w:val="center"/>
              <w:rPr>
                <w:rFonts w:hAnsi="宋体"/>
              </w:rPr>
            </w:pPr>
            <w:r>
              <w:rPr>
                <w:rFonts w:hint="eastAsia" w:hAnsi="宋体"/>
              </w:rPr>
              <w:t>课程目标1</w:t>
            </w:r>
          </w:p>
        </w:tc>
        <w:tc>
          <w:tcPr>
            <w:tcW w:w="2849" w:type="dxa"/>
            <w:vAlign w:val="center"/>
          </w:tcPr>
          <w:p>
            <w:pPr>
              <w:pStyle w:val="2"/>
              <w:spacing w:beforeLines="50" w:afterLines="50"/>
              <w:jc w:val="center"/>
              <w:rPr>
                <w:rFonts w:hAnsi="宋体"/>
                <w:b/>
              </w:rPr>
            </w:pPr>
            <w:r>
              <w:rPr>
                <w:rFonts w:hAnsi="宋体"/>
                <w:b/>
              </w:rPr>
              <w:t>足球基本技战术</w:t>
            </w:r>
          </w:p>
        </w:tc>
        <w:tc>
          <w:tcPr>
            <w:tcW w:w="2849" w:type="dxa"/>
            <w:vAlign w:val="center"/>
          </w:tcPr>
          <w:p>
            <w:pPr>
              <w:pStyle w:val="2"/>
              <w:spacing w:beforeLines="50" w:afterLines="50"/>
              <w:jc w:val="center"/>
              <w:rPr>
                <w:rFonts w:hAnsi="宋体"/>
                <w:b/>
              </w:rPr>
            </w:pPr>
            <w:r>
              <w:rPr>
                <w:rFonts w:hAnsi="宋体"/>
                <w:b/>
              </w:rPr>
              <w:t>理论与实践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Lines="50" w:afterLines="50"/>
              <w:jc w:val="center"/>
              <w:rPr>
                <w:rFonts w:hAnsi="宋体"/>
              </w:rPr>
            </w:pPr>
            <w:r>
              <w:rPr>
                <w:rFonts w:hint="eastAsia" w:hAnsi="宋体"/>
              </w:rPr>
              <w:t>课程目标2</w:t>
            </w:r>
          </w:p>
        </w:tc>
        <w:tc>
          <w:tcPr>
            <w:tcW w:w="2849" w:type="dxa"/>
            <w:vAlign w:val="center"/>
          </w:tcPr>
          <w:p>
            <w:pPr>
              <w:pStyle w:val="2"/>
              <w:spacing w:beforeLines="50" w:afterLines="50"/>
              <w:jc w:val="center"/>
              <w:rPr>
                <w:rFonts w:hAnsi="宋体"/>
                <w:b/>
              </w:rPr>
            </w:pPr>
            <w:r>
              <w:rPr>
                <w:rFonts w:hAnsi="宋体"/>
                <w:b/>
              </w:rPr>
              <w:t>足球技战术强化</w:t>
            </w:r>
          </w:p>
        </w:tc>
        <w:tc>
          <w:tcPr>
            <w:tcW w:w="2849" w:type="dxa"/>
            <w:vAlign w:val="center"/>
          </w:tcPr>
          <w:p>
            <w:pPr>
              <w:pStyle w:val="2"/>
              <w:spacing w:beforeLines="50" w:afterLines="50"/>
              <w:jc w:val="center"/>
              <w:rPr>
                <w:rFonts w:hAnsi="宋体"/>
                <w:b/>
              </w:rPr>
            </w:pPr>
            <w:r>
              <w:rPr>
                <w:rFonts w:hAnsi="宋体"/>
                <w:b/>
              </w:rPr>
              <w:t>理论与实践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Lines="50" w:afterLines="50"/>
              <w:jc w:val="center"/>
              <w:rPr>
                <w:rFonts w:hAnsi="宋体"/>
              </w:rPr>
            </w:pPr>
            <w:r>
              <w:rPr>
                <w:rFonts w:hint="eastAsia" w:hAnsi="宋体"/>
              </w:rPr>
              <w:t>课程目标3</w:t>
            </w:r>
          </w:p>
        </w:tc>
        <w:tc>
          <w:tcPr>
            <w:tcW w:w="2849" w:type="dxa"/>
            <w:vAlign w:val="center"/>
          </w:tcPr>
          <w:p>
            <w:pPr>
              <w:pStyle w:val="2"/>
              <w:spacing w:beforeLines="50" w:afterLines="50"/>
              <w:jc w:val="center"/>
              <w:rPr>
                <w:rFonts w:hAnsi="宋体"/>
                <w:b/>
              </w:rPr>
            </w:pPr>
            <w:r>
              <w:rPr>
                <w:rFonts w:hAnsi="宋体"/>
                <w:b/>
              </w:rPr>
              <w:t>技能强化、教学比赛</w:t>
            </w:r>
          </w:p>
        </w:tc>
        <w:tc>
          <w:tcPr>
            <w:tcW w:w="2849" w:type="dxa"/>
            <w:vAlign w:val="center"/>
          </w:tcPr>
          <w:p>
            <w:pPr>
              <w:pStyle w:val="2"/>
              <w:spacing w:beforeLines="50" w:afterLines="50"/>
              <w:jc w:val="center"/>
              <w:rPr>
                <w:rFonts w:hAnsi="宋体"/>
                <w:b/>
              </w:rPr>
            </w:pPr>
            <w:r>
              <w:rPr>
                <w:rFonts w:hAnsi="宋体"/>
                <w:b/>
              </w:rPr>
              <w:t>理论与实践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Lines="50" w:afterLines="50"/>
              <w:jc w:val="center"/>
              <w:rPr>
                <w:rFonts w:hAnsi="宋体"/>
              </w:rPr>
            </w:pPr>
            <w:r>
              <w:rPr>
                <w:rFonts w:hint="eastAsia" w:hAnsi="宋体"/>
              </w:rPr>
              <w:t>……（五号宋体）</w:t>
            </w:r>
          </w:p>
        </w:tc>
        <w:tc>
          <w:tcPr>
            <w:tcW w:w="2849" w:type="dxa"/>
            <w:vAlign w:val="center"/>
          </w:tcPr>
          <w:p>
            <w:pPr>
              <w:pStyle w:val="2"/>
              <w:spacing w:beforeLines="50" w:afterLines="50"/>
              <w:jc w:val="center"/>
              <w:rPr>
                <w:rFonts w:hAnsi="宋体"/>
                <w:b/>
              </w:rPr>
            </w:pPr>
          </w:p>
        </w:tc>
        <w:tc>
          <w:tcPr>
            <w:tcW w:w="2849" w:type="dxa"/>
            <w:vAlign w:val="center"/>
          </w:tcPr>
          <w:p>
            <w:pPr>
              <w:pStyle w:val="2"/>
              <w:spacing w:beforeLines="50" w:afterLines="50"/>
              <w:jc w:val="center"/>
              <w:rPr>
                <w:rFonts w:hAnsi="宋体"/>
                <w:b/>
              </w:rPr>
            </w:pPr>
          </w:p>
        </w:tc>
      </w:tr>
    </w:tbl>
    <w:p>
      <w:pPr>
        <w:widowControl/>
        <w:spacing w:beforeLines="50"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（二）评定方法 </w:t>
      </w:r>
      <w:r>
        <w:rPr>
          <w:rFonts w:hint="eastAsia" w:ascii="宋体" w:hAnsi="宋体" w:eastAsia="宋体"/>
          <w:szCs w:val="21"/>
        </w:rPr>
        <w:t>（小四号黑体）</w:t>
      </w:r>
    </w:p>
    <w:p>
      <w:pPr>
        <w:widowControl/>
        <w:spacing w:beforeLines="50" w:afterLines="50"/>
        <w:ind w:firstLine="422" w:firstLineChars="200"/>
        <w:jc w:val="left"/>
        <w:rPr>
          <w:rFonts w:ascii="黑体" w:hAnsi="黑体" w:eastAsia="黑体"/>
          <w:b/>
          <w:sz w:val="24"/>
          <w:szCs w:val="24"/>
        </w:rPr>
      </w:pPr>
      <w:r>
        <w:rPr>
          <w:rFonts w:hint="eastAsia" w:ascii="宋体" w:hAnsi="宋体" w:eastAsia="宋体"/>
          <w:b/>
        </w:rPr>
        <w:t xml:space="preserve">1．评定方法 </w:t>
      </w:r>
      <w:r>
        <w:rPr>
          <w:rFonts w:hint="eastAsia" w:ascii="宋体" w:hAnsi="宋体" w:eastAsia="宋体"/>
        </w:rPr>
        <w:t>（五号宋体）</w:t>
      </w:r>
    </w:p>
    <w:p>
      <w:pPr>
        <w:widowControl/>
        <w:spacing w:beforeLines="50" w:afterLines="50"/>
        <w:jc w:val="left"/>
        <w:rPr>
          <w:rFonts w:ascii="宋体" w:hAnsi="宋体" w:eastAsia="宋体"/>
        </w:rPr>
      </w:pPr>
      <w:r>
        <w:rPr>
          <w:rFonts w:hint="eastAsia" w:ascii="宋体" w:hAnsi="宋体" w:eastAsia="宋体"/>
        </w:rPr>
        <w:t>（例：平时成绩：1</w:t>
      </w:r>
      <w:r>
        <w:rPr>
          <w:rFonts w:ascii="宋体" w:hAnsi="宋体" w:eastAsia="宋体"/>
        </w:rPr>
        <w:t>0%</w:t>
      </w:r>
      <w:r>
        <w:rPr>
          <w:rFonts w:hint="eastAsia" w:ascii="宋体" w:hAnsi="宋体" w:eastAsia="宋体"/>
        </w:rPr>
        <w:t>，期中考试：3</w:t>
      </w:r>
      <w:r>
        <w:rPr>
          <w:rFonts w:ascii="宋体" w:hAnsi="宋体" w:eastAsia="宋体"/>
        </w:rPr>
        <w:t>0%</w:t>
      </w:r>
      <w:r>
        <w:rPr>
          <w:rFonts w:hint="eastAsia" w:ascii="宋体" w:hAnsi="宋体" w:eastAsia="宋体"/>
        </w:rPr>
        <w:t>，期末考试6</w:t>
      </w:r>
      <w:r>
        <w:rPr>
          <w:rFonts w:ascii="宋体" w:hAnsi="宋体" w:eastAsia="宋体"/>
        </w:rPr>
        <w:t>0%</w:t>
      </w:r>
      <w:r>
        <w:rPr>
          <w:rFonts w:hint="eastAsia" w:ascii="宋体" w:hAnsi="宋体" w:eastAsia="宋体"/>
        </w:rPr>
        <w:t>，按课程考核实际情况描述）（五号宋体）</w:t>
      </w:r>
    </w:p>
    <w:p>
      <w:pPr>
        <w:widowControl/>
        <w:spacing w:beforeLines="50"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r>
        <w:rPr>
          <w:rFonts w:hint="eastAsia" w:ascii="宋体" w:hAnsi="宋体" w:eastAsia="宋体"/>
        </w:rPr>
        <w:t>（五号宋体）</w:t>
      </w:r>
    </w:p>
    <w:p>
      <w:pPr>
        <w:widowControl/>
        <w:spacing w:beforeLines="50" w:afterLines="50"/>
        <w:ind w:firstLine="422" w:firstLineChars="200"/>
        <w:jc w:val="center"/>
        <w:rPr>
          <w:rFonts w:ascii="宋体" w:hAnsi="宋体" w:eastAsia="宋体"/>
          <w:b/>
        </w:rPr>
      </w:pPr>
      <w:r>
        <w:rPr>
          <w:rFonts w:hint="eastAsia" w:ascii="宋体" w:hAnsi="宋体" w:eastAsia="宋体"/>
          <w:b/>
        </w:rPr>
        <w:t>表5：课程目标的考核占比与达成度分析表</w:t>
      </w:r>
      <w:r>
        <w:rPr>
          <w:rFonts w:hint="eastAsia" w:ascii="宋体" w:hAnsi="宋体" w:eastAsia="宋体"/>
        </w:rPr>
        <w:t>（五号宋体）</w:t>
      </w:r>
    </w:p>
    <w:tbl>
      <w:tblPr>
        <w:tblStyle w:val="6"/>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spacing w:beforeLines="50" w:afterLines="50"/>
              <w:rPr>
                <w:rFonts w:ascii="宋体" w:hAnsi="宋体" w:eastAsia="宋体"/>
                <w:b/>
                <w:bCs/>
                <w:kern w:val="0"/>
                <w:szCs w:val="21"/>
              </w:rPr>
            </w:pPr>
            <w:r>
              <w:rPr>
                <w:rFonts w:hint="eastAsia" w:ascii="宋体" w:hAnsi="宋体" w:eastAsia="宋体"/>
                <w:b/>
                <w:bCs/>
                <w:kern w:val="0"/>
                <w:szCs w:val="21"/>
              </w:rPr>
              <w:t>考核占比</w:t>
            </w:r>
          </w:p>
          <w:p>
            <w:pPr>
              <w:spacing w:beforeLines="50"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期中</w:t>
            </w:r>
          </w:p>
        </w:tc>
        <w:tc>
          <w:tcPr>
            <w:tcW w:w="1134" w:type="dxa"/>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rPr>
              <w:t>1</w:t>
            </w:r>
            <w:r>
              <w:rPr>
                <w:rFonts w:ascii="宋体" w:hAnsi="宋体" w:eastAsia="宋体"/>
              </w:rPr>
              <w:t>0%</w:t>
            </w:r>
          </w:p>
        </w:tc>
        <w:tc>
          <w:tcPr>
            <w:tcW w:w="1134"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rPr>
              <w:t>3</w:t>
            </w:r>
            <w:r>
              <w:rPr>
                <w:rFonts w:ascii="宋体" w:hAnsi="宋体" w:eastAsia="宋体"/>
              </w:rPr>
              <w:t>0%</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rPr>
              <w:t>6</w:t>
            </w:r>
            <w:r>
              <w:rPr>
                <w:rFonts w:ascii="宋体" w:hAnsi="宋体" w:eastAsia="宋体"/>
              </w:rPr>
              <w:t>0%</w:t>
            </w:r>
          </w:p>
        </w:tc>
        <w:tc>
          <w:tcPr>
            <w:tcW w:w="2627" w:type="dxa"/>
            <w:vMerge w:val="restart"/>
            <w:shd w:val="clear" w:color="auto" w:fill="auto"/>
            <w:vAlign w:val="center"/>
          </w:tcPr>
          <w:p>
            <w:pPr>
              <w:spacing w:beforeLines="50" w:afterLines="50"/>
              <w:rPr>
                <w:rFonts w:ascii="宋体" w:hAnsi="宋体" w:eastAsia="宋体"/>
                <w:kern w:val="0"/>
                <w:szCs w:val="21"/>
              </w:rPr>
            </w:pPr>
            <w:r>
              <w:rPr>
                <w:rFonts w:hint="eastAsia" w:ascii="宋体" w:hAnsi="宋体" w:eastAsia="宋体"/>
                <w:kern w:val="0"/>
                <w:szCs w:val="21"/>
              </w:rPr>
              <w:t>（例：课程</w:t>
            </w:r>
            <w:r>
              <w:rPr>
                <w:rFonts w:ascii="宋体" w:hAnsi="宋体" w:eastAsia="宋体"/>
                <w:kern w:val="0"/>
                <w:szCs w:val="21"/>
              </w:rPr>
              <w:t>目标</w:t>
            </w:r>
            <w:r>
              <w:rPr>
                <w:rFonts w:hint="eastAsia" w:ascii="宋体" w:hAnsi="宋体" w:eastAsia="宋体"/>
                <w:kern w:val="0"/>
                <w:szCs w:val="21"/>
              </w:rPr>
              <w:t>1</w:t>
            </w:r>
            <w:r>
              <w:rPr>
                <w:rFonts w:ascii="宋体" w:hAnsi="宋体" w:eastAsia="宋体"/>
                <w:kern w:val="0"/>
                <w:szCs w:val="21"/>
              </w:rPr>
              <w:t>达成度={0.</w:t>
            </w:r>
            <w:r>
              <w:rPr>
                <w:rFonts w:hint="eastAsia" w:ascii="宋体" w:hAnsi="宋体" w:eastAsia="宋体"/>
                <w:kern w:val="0"/>
                <w:szCs w:val="21"/>
              </w:rPr>
              <w:t>3</w:t>
            </w:r>
            <w:r>
              <w:rPr>
                <w:rFonts w:ascii="宋体" w:hAnsi="宋体" w:eastAsia="宋体"/>
                <w:kern w:val="0"/>
                <w:szCs w:val="21"/>
              </w:rPr>
              <w:t>ｘ平时目标</w:t>
            </w:r>
            <w:r>
              <w:rPr>
                <w:rFonts w:hint="eastAsia" w:ascii="宋体" w:hAnsi="宋体" w:eastAsia="宋体"/>
                <w:kern w:val="0"/>
                <w:szCs w:val="21"/>
              </w:rPr>
              <w:t>1</w:t>
            </w:r>
            <w:r>
              <w:rPr>
                <w:rFonts w:ascii="宋体" w:hAnsi="宋体" w:eastAsia="宋体"/>
                <w:kern w:val="0"/>
                <w:szCs w:val="21"/>
              </w:rPr>
              <w:t>成绩+0.</w:t>
            </w:r>
            <w:r>
              <w:rPr>
                <w:rFonts w:hint="eastAsia" w:ascii="宋体" w:hAnsi="宋体" w:eastAsia="宋体"/>
                <w:kern w:val="0"/>
                <w:szCs w:val="21"/>
              </w:rPr>
              <w:t>2</w:t>
            </w:r>
            <w:r>
              <w:rPr>
                <w:rFonts w:ascii="宋体" w:hAnsi="宋体" w:eastAsia="宋体"/>
                <w:kern w:val="0"/>
                <w:szCs w:val="21"/>
              </w:rPr>
              <w:t>ｘ期中目标</w:t>
            </w:r>
            <w:r>
              <w:rPr>
                <w:rFonts w:hint="eastAsia" w:ascii="宋体" w:hAnsi="宋体" w:eastAsia="宋体"/>
                <w:kern w:val="0"/>
                <w:szCs w:val="21"/>
              </w:rPr>
              <w:t>1</w:t>
            </w:r>
            <w:r>
              <w:rPr>
                <w:rFonts w:ascii="宋体" w:hAnsi="宋体" w:eastAsia="宋体"/>
                <w:kern w:val="0"/>
                <w:szCs w:val="21"/>
              </w:rPr>
              <w:t>成绩+0.</w:t>
            </w:r>
            <w:r>
              <w:rPr>
                <w:rFonts w:hint="eastAsia" w:ascii="宋体" w:hAnsi="宋体" w:eastAsia="宋体"/>
                <w:kern w:val="0"/>
                <w:szCs w:val="21"/>
              </w:rPr>
              <w:t>5</w:t>
            </w:r>
            <w:r>
              <w:rPr>
                <w:rFonts w:ascii="宋体" w:hAnsi="宋体" w:eastAsia="宋体"/>
                <w:kern w:val="0"/>
                <w:szCs w:val="21"/>
              </w:rPr>
              <w:t>ｘ期末目标</w:t>
            </w:r>
            <w:r>
              <w:rPr>
                <w:rFonts w:hint="eastAsia" w:ascii="宋体" w:hAnsi="宋体" w:eastAsia="宋体"/>
                <w:kern w:val="0"/>
                <w:szCs w:val="21"/>
              </w:rPr>
              <w:t>1</w:t>
            </w:r>
            <w:r>
              <w:rPr>
                <w:rFonts w:ascii="宋体" w:hAnsi="宋体" w:eastAsia="宋体"/>
                <w:kern w:val="0"/>
                <w:szCs w:val="21"/>
              </w:rPr>
              <w:t>成绩}/目标</w:t>
            </w:r>
            <w:r>
              <w:rPr>
                <w:rFonts w:hint="eastAsia" w:ascii="宋体" w:hAnsi="宋体" w:eastAsia="宋体"/>
                <w:kern w:val="0"/>
                <w:szCs w:val="21"/>
              </w:rPr>
              <w:t>1</w:t>
            </w:r>
            <w:r>
              <w:rPr>
                <w:rFonts w:ascii="宋体" w:hAnsi="宋体" w:eastAsia="宋体"/>
                <w:kern w:val="0"/>
                <w:szCs w:val="21"/>
              </w:rPr>
              <w:t>总分</w:t>
            </w:r>
            <w:r>
              <w:rPr>
                <w:rFonts w:hint="eastAsia" w:ascii="宋体" w:hAnsi="宋体" w:eastAsia="宋体"/>
                <w:kern w:val="0"/>
                <w:szCs w:val="21"/>
              </w:rPr>
              <w:t>。按课程考核实际情况描述）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rPr>
              <w:t>1</w:t>
            </w:r>
            <w:r>
              <w:rPr>
                <w:rFonts w:ascii="宋体" w:hAnsi="宋体" w:eastAsia="宋体"/>
              </w:rPr>
              <w:t>0%</w:t>
            </w:r>
          </w:p>
        </w:tc>
        <w:tc>
          <w:tcPr>
            <w:tcW w:w="1134"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rPr>
              <w:t>3</w:t>
            </w:r>
            <w:r>
              <w:rPr>
                <w:rFonts w:ascii="宋体" w:hAnsi="宋体" w:eastAsia="宋体"/>
              </w:rPr>
              <w:t>0%</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rPr>
              <w:t>6</w:t>
            </w:r>
            <w:r>
              <w:rPr>
                <w:rFonts w:ascii="宋体" w:hAnsi="宋体" w:eastAsia="宋体"/>
              </w:rPr>
              <w:t>0%</w:t>
            </w:r>
          </w:p>
        </w:tc>
        <w:tc>
          <w:tcPr>
            <w:tcW w:w="2627" w:type="dxa"/>
            <w:vMerge w:val="continue"/>
            <w:shd w:val="clear" w:color="auto" w:fill="auto"/>
            <w:vAlign w:val="center"/>
          </w:tcPr>
          <w:p>
            <w:pPr>
              <w:spacing w:beforeLines="50"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rPr>
              <w:t>1</w:t>
            </w:r>
            <w:r>
              <w:rPr>
                <w:rFonts w:ascii="宋体" w:hAnsi="宋体" w:eastAsia="宋体"/>
              </w:rPr>
              <w:t>0%</w:t>
            </w:r>
          </w:p>
        </w:tc>
        <w:tc>
          <w:tcPr>
            <w:tcW w:w="1134"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rPr>
              <w:t>3</w:t>
            </w:r>
            <w:r>
              <w:rPr>
                <w:rFonts w:ascii="宋体" w:hAnsi="宋体" w:eastAsia="宋体"/>
              </w:rPr>
              <w:t>0%</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rPr>
              <w:t>6</w:t>
            </w:r>
            <w:r>
              <w:rPr>
                <w:rFonts w:ascii="宋体" w:hAnsi="宋体" w:eastAsia="宋体"/>
              </w:rPr>
              <w:t>0%</w:t>
            </w:r>
          </w:p>
        </w:tc>
        <w:tc>
          <w:tcPr>
            <w:tcW w:w="2627" w:type="dxa"/>
            <w:vMerge w:val="continue"/>
            <w:shd w:val="clear" w:color="auto" w:fill="auto"/>
            <w:vAlign w:val="center"/>
          </w:tcPr>
          <w:p>
            <w:pPr>
              <w:spacing w:beforeLines="50"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……（五号宋体）</w:t>
            </w:r>
          </w:p>
        </w:tc>
        <w:tc>
          <w:tcPr>
            <w:tcW w:w="858" w:type="dxa"/>
            <w:shd w:val="clear" w:color="auto" w:fill="auto"/>
            <w:vAlign w:val="center"/>
          </w:tcPr>
          <w:p>
            <w:pPr>
              <w:spacing w:beforeLines="50" w:afterLines="50"/>
              <w:jc w:val="center"/>
              <w:rPr>
                <w:rFonts w:ascii="宋体" w:hAnsi="宋体" w:eastAsia="宋体"/>
                <w:kern w:val="0"/>
                <w:szCs w:val="21"/>
              </w:rPr>
            </w:pPr>
          </w:p>
        </w:tc>
        <w:tc>
          <w:tcPr>
            <w:tcW w:w="1134" w:type="dxa"/>
            <w:shd w:val="clear" w:color="auto" w:fill="auto"/>
            <w:vAlign w:val="center"/>
          </w:tcPr>
          <w:p>
            <w:pPr>
              <w:spacing w:beforeLines="50" w:afterLines="50"/>
              <w:jc w:val="center"/>
              <w:rPr>
                <w:rFonts w:ascii="宋体" w:hAnsi="宋体" w:eastAsia="宋体"/>
                <w:kern w:val="0"/>
                <w:szCs w:val="21"/>
              </w:rPr>
            </w:pPr>
          </w:p>
        </w:tc>
        <w:tc>
          <w:tcPr>
            <w:tcW w:w="1134" w:type="dxa"/>
            <w:vAlign w:val="center"/>
          </w:tcPr>
          <w:p>
            <w:pPr>
              <w:spacing w:beforeLines="50" w:afterLines="50"/>
              <w:jc w:val="center"/>
              <w:rPr>
                <w:rFonts w:ascii="宋体" w:hAnsi="宋体" w:eastAsia="宋体"/>
                <w:kern w:val="0"/>
                <w:szCs w:val="21"/>
              </w:rPr>
            </w:pPr>
          </w:p>
        </w:tc>
        <w:tc>
          <w:tcPr>
            <w:tcW w:w="2627" w:type="dxa"/>
            <w:vMerge w:val="continue"/>
            <w:shd w:val="clear" w:color="auto" w:fill="auto"/>
            <w:vAlign w:val="center"/>
          </w:tcPr>
          <w:p>
            <w:pPr>
              <w:spacing w:beforeLines="50" w:afterLines="50"/>
              <w:rPr>
                <w:rFonts w:ascii="宋体" w:hAnsi="宋体" w:eastAsia="宋体"/>
                <w:kern w:val="0"/>
                <w:szCs w:val="21"/>
              </w:rPr>
            </w:pPr>
          </w:p>
        </w:tc>
      </w:tr>
    </w:tbl>
    <w:p>
      <w:pPr>
        <w:widowControl/>
        <w:spacing w:beforeLines="50" w:afterLines="50"/>
        <w:ind w:firstLine="482" w:firstLineChars="200"/>
        <w:jc w:val="left"/>
        <w:rPr>
          <w:rFonts w:ascii="黑体" w:hAnsi="黑体" w:eastAsia="黑体"/>
          <w:b/>
          <w:sz w:val="24"/>
          <w:szCs w:val="24"/>
        </w:rPr>
      </w:pPr>
    </w:p>
    <w:p>
      <w:pPr>
        <w:widowControl/>
        <w:spacing w:beforeLines="50" w:afterLines="50"/>
        <w:ind w:firstLine="482" w:firstLineChars="200"/>
        <w:jc w:val="left"/>
        <w:rPr>
          <w:rFonts w:ascii="黑体" w:hAnsi="黑体" w:eastAsia="黑体"/>
          <w:b/>
          <w:sz w:val="24"/>
          <w:szCs w:val="24"/>
        </w:rPr>
      </w:pPr>
    </w:p>
    <w:p>
      <w:pPr>
        <w:widowControl/>
        <w:spacing w:beforeLines="50" w:afterLines="50"/>
        <w:ind w:firstLine="482" w:firstLineChars="200"/>
        <w:jc w:val="left"/>
        <w:rPr>
          <w:rFonts w:ascii="黑体" w:hAnsi="黑体" w:eastAsia="黑体"/>
          <w:b/>
          <w:sz w:val="24"/>
          <w:szCs w:val="24"/>
        </w:rPr>
      </w:pPr>
    </w:p>
    <w:p>
      <w:pPr>
        <w:widowControl/>
        <w:spacing w:beforeLines="50" w:afterLines="50"/>
        <w:ind w:firstLine="482" w:firstLineChars="200"/>
        <w:jc w:val="left"/>
        <w:rPr>
          <w:rFonts w:ascii="黑体" w:hAnsi="黑体" w:eastAsia="黑体"/>
          <w:b/>
          <w:sz w:val="24"/>
          <w:szCs w:val="24"/>
        </w:rPr>
      </w:pPr>
    </w:p>
    <w:p>
      <w:pPr>
        <w:widowControl/>
        <w:spacing w:beforeLines="50"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（三）评分标准 </w:t>
      </w:r>
      <w:r>
        <w:rPr>
          <w:rFonts w:hint="eastAsia" w:ascii="宋体" w:hAnsi="宋体" w:eastAsia="宋体"/>
          <w:szCs w:val="21"/>
        </w:rPr>
        <w:t>（小四号黑体）</w:t>
      </w:r>
    </w:p>
    <w:tbl>
      <w:tblPr>
        <w:tblStyle w:val="6"/>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课程</w:t>
            </w:r>
          </w:p>
          <w:p>
            <w:pPr>
              <w:widowControl/>
              <w:spacing w:beforeLines="50"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pPr>
              <w:widowControl/>
              <w:spacing w:beforeLines="50" w:afterLines="50"/>
              <w:jc w:val="center"/>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课程</w:t>
            </w:r>
          </w:p>
          <w:p>
            <w:pPr>
              <w:spacing w:beforeLines="50" w:afterLines="50"/>
              <w:jc w:val="center"/>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843"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课程</w:t>
            </w:r>
          </w:p>
          <w:p>
            <w:pPr>
              <w:spacing w:beforeLines="50" w:afterLines="50"/>
              <w:jc w:val="center"/>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843"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课程</w:t>
            </w:r>
          </w:p>
          <w:p>
            <w:pPr>
              <w:spacing w:beforeLines="50" w:afterLines="50"/>
              <w:jc w:val="center"/>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843"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w:t>
            </w:r>
          </w:p>
          <w:p>
            <w:pPr>
              <w:spacing w:beforeLines="50" w:afterLines="50"/>
              <w:jc w:val="center"/>
              <w:rPr>
                <w:rFonts w:ascii="宋体" w:hAnsi="宋体" w:eastAsia="宋体"/>
                <w:bCs/>
                <w:kern w:val="0"/>
                <w:szCs w:val="21"/>
              </w:rPr>
            </w:pPr>
            <w:r>
              <w:rPr>
                <w:rFonts w:hint="eastAsia" w:ascii="宋体" w:hAnsi="宋体" w:eastAsia="宋体"/>
                <w:bCs/>
                <w:kern w:val="0"/>
                <w:szCs w:val="21"/>
              </w:rPr>
              <w:t>（五号宋体）</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843"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r>
    </w:tbl>
    <w:p>
      <w:pPr>
        <w:widowControl/>
        <w:jc w:val="left"/>
        <w:rPr>
          <w:rFonts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Times New Roman Regular">
    <w:altName w:val="Times New Roman"/>
    <w:panose1 w:val="02020503050405090304"/>
    <w:charset w:val="00"/>
    <w:family w:val="auto"/>
    <w:pitch w:val="default"/>
    <w:sig w:usb0="00000000" w:usb1="00000000" w:usb2="00000001" w:usb3="00000000" w:csb0="400001BF" w:csb1="DFF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3A3AAAB"/>
    <w:multiLevelType w:val="singleLevel"/>
    <w:tmpl w:val="F3A3AAAB"/>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2FhM2JjOTA4ZDYwYzcwMTE0MjlkOWU3ZmVjNGU2YzEifQ=="/>
  </w:docVars>
  <w:rsids>
    <w:rsidRoot w:val="001E5724"/>
    <w:rsid w:val="00022CBB"/>
    <w:rsid w:val="00077A5F"/>
    <w:rsid w:val="000F054A"/>
    <w:rsid w:val="001C0C09"/>
    <w:rsid w:val="001E5724"/>
    <w:rsid w:val="00204450"/>
    <w:rsid w:val="00242673"/>
    <w:rsid w:val="00285327"/>
    <w:rsid w:val="002A7568"/>
    <w:rsid w:val="00313A87"/>
    <w:rsid w:val="00322986"/>
    <w:rsid w:val="0034254B"/>
    <w:rsid w:val="0038665C"/>
    <w:rsid w:val="003C3DFC"/>
    <w:rsid w:val="003D6A8B"/>
    <w:rsid w:val="004070CF"/>
    <w:rsid w:val="004079CB"/>
    <w:rsid w:val="004C56F6"/>
    <w:rsid w:val="004F28D9"/>
    <w:rsid w:val="005A0378"/>
    <w:rsid w:val="005A268E"/>
    <w:rsid w:val="005B0D05"/>
    <w:rsid w:val="005B1FEF"/>
    <w:rsid w:val="00631A17"/>
    <w:rsid w:val="00665621"/>
    <w:rsid w:val="0067421B"/>
    <w:rsid w:val="006D5856"/>
    <w:rsid w:val="006E4F82"/>
    <w:rsid w:val="006F64C9"/>
    <w:rsid w:val="007639A2"/>
    <w:rsid w:val="007C379D"/>
    <w:rsid w:val="007C62ED"/>
    <w:rsid w:val="007E39E3"/>
    <w:rsid w:val="008128AD"/>
    <w:rsid w:val="00837ACF"/>
    <w:rsid w:val="008560E2"/>
    <w:rsid w:val="00886EBF"/>
    <w:rsid w:val="00891839"/>
    <w:rsid w:val="008B6D2A"/>
    <w:rsid w:val="00933E82"/>
    <w:rsid w:val="009511D8"/>
    <w:rsid w:val="009A0334"/>
    <w:rsid w:val="009B0956"/>
    <w:rsid w:val="00A03BBD"/>
    <w:rsid w:val="00A61EFD"/>
    <w:rsid w:val="00A62E39"/>
    <w:rsid w:val="00A80E8C"/>
    <w:rsid w:val="00A96158"/>
    <w:rsid w:val="00AA4570"/>
    <w:rsid w:val="00AA630A"/>
    <w:rsid w:val="00AB4758"/>
    <w:rsid w:val="00AE3D1A"/>
    <w:rsid w:val="00B03909"/>
    <w:rsid w:val="00B40ECD"/>
    <w:rsid w:val="00BA23F0"/>
    <w:rsid w:val="00C00798"/>
    <w:rsid w:val="00C37318"/>
    <w:rsid w:val="00C54636"/>
    <w:rsid w:val="00CA53B2"/>
    <w:rsid w:val="00CD4FFE"/>
    <w:rsid w:val="00D02F99"/>
    <w:rsid w:val="00D13271"/>
    <w:rsid w:val="00D14471"/>
    <w:rsid w:val="00D417A1"/>
    <w:rsid w:val="00D504B7"/>
    <w:rsid w:val="00D6636C"/>
    <w:rsid w:val="00D715F7"/>
    <w:rsid w:val="00D94417"/>
    <w:rsid w:val="00DD5EC2"/>
    <w:rsid w:val="00DD75FE"/>
    <w:rsid w:val="00DD7B5F"/>
    <w:rsid w:val="00DE7849"/>
    <w:rsid w:val="00DF740C"/>
    <w:rsid w:val="00E05E8B"/>
    <w:rsid w:val="00E366AB"/>
    <w:rsid w:val="00E67CCB"/>
    <w:rsid w:val="00E76E34"/>
    <w:rsid w:val="00E84711"/>
    <w:rsid w:val="00ED7F81"/>
    <w:rsid w:val="00F40F68"/>
    <w:rsid w:val="00F56396"/>
    <w:rsid w:val="00F74660"/>
    <w:rsid w:val="00FB77A1"/>
    <w:rsid w:val="00FC0B78"/>
    <w:rsid w:val="00FC24B5"/>
    <w:rsid w:val="00FD7BD9"/>
    <w:rsid w:val="06021ED4"/>
    <w:rsid w:val="077A1F3E"/>
    <w:rsid w:val="0FFB6B9F"/>
    <w:rsid w:val="16100BFB"/>
    <w:rsid w:val="18AE5010"/>
    <w:rsid w:val="1FED3706"/>
    <w:rsid w:val="25180974"/>
    <w:rsid w:val="40F515BD"/>
    <w:rsid w:val="428A045B"/>
    <w:rsid w:val="43E20674"/>
    <w:rsid w:val="4AFF3062"/>
    <w:rsid w:val="4B10496B"/>
    <w:rsid w:val="68E047B9"/>
    <w:rsid w:val="75FA2BDD"/>
    <w:rsid w:val="77E5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0"/>
    <w:qFormat/>
    <w:uiPriority w:val="99"/>
    <w:rPr>
      <w:rFonts w:ascii="宋体" w:hAnsi="Courier New" w:eastAsia="宋体" w:cs="Times New Roman"/>
      <w:szCs w:val="20"/>
    </w:rPr>
  </w:style>
  <w:style w:type="paragraph" w:styleId="3">
    <w:name w:val="Balloon Text"/>
    <w:basedOn w:val="1"/>
    <w:link w:val="13"/>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Hyperlink"/>
    <w:basedOn w:val="8"/>
    <w:semiHidden/>
    <w:unhideWhenUsed/>
    <w:uiPriority w:val="99"/>
    <w:rPr>
      <w:color w:val="0000FF"/>
      <w:u w:val="single"/>
    </w:rPr>
  </w:style>
  <w:style w:type="character" w:customStyle="1" w:styleId="10">
    <w:name w:val="纯文本 Char"/>
    <w:basedOn w:val="8"/>
    <w:link w:val="2"/>
    <w:qFormat/>
    <w:uiPriority w:val="99"/>
    <w:rPr>
      <w:rFonts w:ascii="宋体" w:hAnsi="Courier New" w:eastAsia="宋体" w:cs="Times New Roman"/>
      <w:szCs w:val="20"/>
    </w:rPr>
  </w:style>
  <w:style w:type="character" w:customStyle="1" w:styleId="11">
    <w:name w:val="页眉 Char"/>
    <w:basedOn w:val="8"/>
    <w:link w:val="5"/>
    <w:qFormat/>
    <w:uiPriority w:val="99"/>
    <w:rPr>
      <w:sz w:val="18"/>
      <w:szCs w:val="18"/>
    </w:rPr>
  </w:style>
  <w:style w:type="character" w:customStyle="1" w:styleId="12">
    <w:name w:val="页脚 Char"/>
    <w:basedOn w:val="8"/>
    <w:link w:val="4"/>
    <w:qFormat/>
    <w:uiPriority w:val="99"/>
    <w:rPr>
      <w:sz w:val="18"/>
      <w:szCs w:val="18"/>
    </w:rPr>
  </w:style>
  <w:style w:type="character" w:customStyle="1" w:styleId="13">
    <w:name w:val="批注框文本 Char"/>
    <w:basedOn w:val="8"/>
    <w:link w:val="3"/>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7</Pages>
  <Words>659</Words>
  <Characters>3758</Characters>
  <Lines>31</Lines>
  <Paragraphs>8</Paragraphs>
  <TotalTime>0</TotalTime>
  <ScaleCrop>false</ScaleCrop>
  <LinksUpToDate>false</LinksUpToDate>
  <CharactersWithSpaces>4409</CharactersWithSpaces>
  <Application>WPS Office_11.1.0.12019_F1E327BC-269C-435d-A152-05C5408002CA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2020-12-08T08:33:00Z</dcterms:created>
  <dc:creator>Windows User</dc:creator>
  <cp:lastModifiedBy>于舒寒</cp:lastModifiedBy>
  <cp:lastPrinted>2020-12-24T07:17:00Z</cp:lastPrinted>
  <dcterms:modified xsi:type="dcterms:W3CDTF">2022-09-15T06:52:22Z</dcterms:modified>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2052-11.1.0.12019</vt:lpwstr>
  </property>
  <property fmtid="{D5CDD505-2E9C-101B-9397-08002B2CF9AE}" pid="3" name="ICV">
    <vt:lpwstr>8D39B737A37842E9B112C2D6C714EB76</vt:lpwstr>
  </property>
</Properties>
</file>