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武术散打主修（三）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2023.8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课程目标1：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0"/>
        </w:rPr>
        <w:t>通过</w:t>
      </w:r>
      <w:r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  <w:t>武术散打运动项目竞赛裁判法的学习，掌握武术散打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掌握竞赛边裁打分、编排与记录、场上裁判执裁理论及实践能力。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课程目标2：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通过长期的训练实践对学生的体能、机能、心能和智能逐步提升，在掌握武术散打的基本技术、基本理论和基本使用方法的同时起到对武德修养的目的。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课程目标3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313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49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武术散打竞赛裁判法理论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武术散打竞赛裁判员实践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（一）武术散打竞赛裁判法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了解武术散打竞赛裁判法，掌握竞赛边裁打分、场上裁判执裁理论及实践能力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竞赛与裁判方法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裁判人员职责履行、竞赛与裁判方法、竞赛的编排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（一）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武术散打裁判员实践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了掌握竞赛边裁打分、场上裁判执裁实践能力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场上裁判员的站位及对运动员的保护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场裁口令、手势 边裁计分方法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auto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（二）武术散打接腿摔技术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了解武术散打接腿摔基本技术，掌握接腿摔技术的要领及练习方法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不同接腿手法间的把位距离控制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接腿涮摔、接腿挑腿摔、接腿勾踢摔、接腿上托摔、接腿抹脖摔、接腿扛抱摔、接腿手别摔、接腿旋压摔、接腿切摸摔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（三）武术散打摔法组合技术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了解武术散打摔法组合技术，掌握散打摔法组合的要领及练习方法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摔法组合技术转换的合理性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手别摔—躺倒摔组合、手别摔—架梁摔组合、涮腿摔—挑腿摔组合、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涮腿摔—切摸腿组合、接腿摔—下潜过背组合、固颈摔—抱腿前顶摔组合、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接腿摔—下潜旋压摔组合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（四）武术散打防守反击技术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了解武术散打拳腿防守反击技术，掌握拳腿防守反击技术的要领及练习方法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防守反击技术使用的时机把握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拳法防守反击技术、腿法防守反击技术、拳腿组合防守反击技术、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（五）武术散打模拟实战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了解武术散打模拟攻防实战技术，掌握散打实战技术的要领及练习方法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各技术攻防灵活转换及战机的把握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拳法条件实战、拳摔条件实战、拳腿条件实战、腿摔条件实战、腿法条件实战、摔法条件实战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武术散打裁判员实践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</w:pPr>
            <w:r>
              <w:rPr>
                <w:rFonts w:hint="eastAsia" w:hAnsi="宋体" w:cs="宋体"/>
                <w:lang w:val="en-US" w:eastAsia="zh-CN"/>
              </w:rPr>
              <w:t>武术散打防守反击技术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武术散打模拟实战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708"/>
        <w:gridCol w:w="443"/>
        <w:gridCol w:w="4386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武术散打竞赛裁判法理论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了解武术散打竞赛裁判法，掌握竞赛裁判判罚标准及竞赛编排方法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掌握武术散打拳法防反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掌握武术散打腿法防反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掌握武术散打摔法防反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掌握散打拳法vs腿法攻防实战技术要领及练习方法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掌握散打摔法vs腿法攻防实战技术要领及练习方法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掌握散打拳法vs摔法攻防实战技术要领及练习方法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掌握散打拳腿vs腿摔攻防实战技术要领及练习方法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机动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本阶段技术任务主要是使学生对动作表象进一步精准化，消除多余动作的过分紧张，提高动作速度和力度，形成良好的“距离感”。</w:t>
      </w:r>
      <w:r>
        <w:rPr>
          <w:rFonts w:hint="eastAsia" w:ascii="Times New Roman" w:hAnsi="Times New Roman" w:eastAsia="宋体" w:cs="Times New Roman"/>
          <w:szCs w:val="20"/>
        </w:rPr>
        <w:t>主要使用动作示范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喂招</w:t>
      </w:r>
      <w:r>
        <w:rPr>
          <w:rFonts w:hint="eastAsia" w:ascii="Times New Roman" w:hAnsi="Times New Roman" w:eastAsia="宋体" w:cs="Times New Roman"/>
          <w:szCs w:val="20"/>
        </w:rPr>
        <w:t>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基础技能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平时：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出勤率、课堂表现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  <w:szCs w:val="21"/>
        </w:rPr>
        <w:t>场上</w:t>
      </w:r>
      <w:r>
        <w:rPr>
          <w:rFonts w:ascii="宋体" w:hAnsi="宋体" w:eastAsia="宋体" w:cs="Times New Roman"/>
          <w:color w:val="000000"/>
          <w:szCs w:val="21"/>
        </w:rPr>
        <w:t>裁判员口令、手势考核</w:t>
      </w:r>
      <w:r>
        <w:rPr>
          <w:rFonts w:hint="eastAsia" w:ascii="宋体" w:hAnsi="宋体" w:eastAsia="宋体" w:cs="Times New Roman"/>
          <w:color w:val="000000"/>
          <w:szCs w:val="21"/>
        </w:rPr>
        <w:t>。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内容</w:t>
      </w:r>
      <w:r>
        <w:rPr>
          <w:rFonts w:ascii="宋体" w:hAnsi="宋体" w:eastAsia="宋体" w:cs="Times New Roman"/>
          <w:szCs w:val="21"/>
        </w:rPr>
        <w:t>：裁判进场流程——</w:t>
      </w:r>
      <w:r>
        <w:rPr>
          <w:rFonts w:hint="eastAsia" w:ascii="宋体" w:hAnsi="宋体" w:eastAsia="宋体" w:cs="Times New Roman"/>
          <w:szCs w:val="21"/>
        </w:rPr>
        <w:t>第一局</w:t>
      </w:r>
      <w:r>
        <w:rPr>
          <w:rFonts w:ascii="宋体" w:hAnsi="宋体" w:eastAsia="宋体" w:cs="Times New Roman"/>
          <w:szCs w:val="21"/>
        </w:rPr>
        <w:t>比赛开始——</w:t>
      </w:r>
      <w:r>
        <w:rPr>
          <w:rFonts w:hint="eastAsia" w:ascii="宋体" w:hAnsi="宋体" w:eastAsia="宋体" w:cs="Times New Roman"/>
          <w:szCs w:val="21"/>
        </w:rPr>
        <w:t>倒地</w:t>
      </w:r>
      <w:r>
        <w:rPr>
          <w:rFonts w:ascii="宋体" w:hAnsi="宋体" w:eastAsia="宋体" w:cs="Times New Roman"/>
          <w:szCs w:val="21"/>
        </w:rPr>
        <w:t>判罚——</w:t>
      </w:r>
      <w:r>
        <w:rPr>
          <w:rFonts w:hint="eastAsia" w:ascii="宋体" w:hAnsi="宋体" w:eastAsia="宋体" w:cs="Times New Roman"/>
          <w:szCs w:val="21"/>
        </w:rPr>
        <w:t>下台</w:t>
      </w:r>
      <w:r>
        <w:rPr>
          <w:rFonts w:ascii="宋体" w:hAnsi="宋体" w:eastAsia="宋体" w:cs="Times New Roman"/>
          <w:szCs w:val="21"/>
        </w:rPr>
        <w:t>判罚——技术犯规</w:t>
      </w:r>
    </w:p>
    <w:p>
      <w:pPr>
        <w:spacing w:line="500" w:lineRule="exact"/>
        <w:ind w:firstLine="420" w:firstLineChars="200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szCs w:val="21"/>
        </w:rPr>
        <w:t>侵人犯规——读秒</w:t>
      </w:r>
      <w:r>
        <w:rPr>
          <w:rFonts w:hint="eastAsia" w:ascii="宋体" w:hAnsi="宋体" w:eastAsia="宋体" w:cs="Times New Roman"/>
          <w:szCs w:val="21"/>
        </w:rPr>
        <w:t>判罚</w:t>
      </w:r>
      <w:r>
        <w:rPr>
          <w:rFonts w:ascii="宋体" w:hAnsi="宋体" w:eastAsia="宋体" w:cs="Times New Roman"/>
          <w:szCs w:val="21"/>
        </w:rPr>
        <w:t>——</w:t>
      </w:r>
      <w:r>
        <w:rPr>
          <w:rFonts w:hint="eastAsia" w:ascii="宋体" w:hAnsi="宋体" w:eastAsia="宋体" w:cs="Times New Roman"/>
          <w:szCs w:val="21"/>
        </w:rPr>
        <w:t>本局比赛</w:t>
      </w:r>
      <w:r>
        <w:rPr>
          <w:rFonts w:ascii="宋体" w:hAnsi="宋体" w:eastAsia="宋体" w:cs="Times New Roman"/>
          <w:szCs w:val="21"/>
        </w:rPr>
        <w:t>结束——</w:t>
      </w:r>
      <w:r>
        <w:rPr>
          <w:rFonts w:hint="eastAsia" w:ascii="宋体" w:hAnsi="宋体" w:eastAsia="宋体" w:cs="Times New Roman"/>
          <w:szCs w:val="21"/>
        </w:rPr>
        <w:t>胜负</w:t>
      </w:r>
      <w:r>
        <w:rPr>
          <w:rFonts w:ascii="宋体" w:hAnsi="宋体" w:eastAsia="宋体" w:cs="Times New Roman"/>
          <w:szCs w:val="21"/>
        </w:rPr>
        <w:t>判定——退场</w:t>
      </w:r>
      <w:r>
        <w:rPr>
          <w:rFonts w:hint="eastAsia" w:ascii="宋体" w:hAnsi="宋体" w:eastAsia="宋体" w:cs="Times New Roman"/>
          <w:szCs w:val="21"/>
        </w:rPr>
        <w:t>流程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10—8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6分</w:t>
      </w:r>
    </w:p>
    <w:p>
      <w:pPr>
        <w:spacing w:before="156" w:beforeLines="50" w:line="40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考生礼仪</w:t>
      </w:r>
      <w:r>
        <w:rPr>
          <w:rFonts w:ascii="宋体" w:hAnsi="宋体" w:eastAsia="宋体" w:cs="Times New Roman"/>
          <w:szCs w:val="21"/>
        </w:rPr>
        <w:t>规范，精神饱满</w:t>
      </w:r>
      <w:r>
        <w:rPr>
          <w:rFonts w:hint="eastAsia" w:ascii="宋体" w:hAnsi="宋体" w:eastAsia="宋体" w:cs="Times New Roman"/>
          <w:szCs w:val="21"/>
        </w:rPr>
        <w:t>；</w:t>
      </w:r>
      <w:r>
        <w:rPr>
          <w:rFonts w:ascii="宋体" w:hAnsi="宋体" w:eastAsia="宋体" w:cs="Times New Roman"/>
          <w:szCs w:val="21"/>
        </w:rPr>
        <w:t>声音响亮、口令清晰有爆发力；</w:t>
      </w:r>
      <w:r>
        <w:rPr>
          <w:rFonts w:hint="eastAsia" w:ascii="宋体" w:hAnsi="宋体" w:eastAsia="宋体" w:cs="Times New Roman"/>
          <w:szCs w:val="21"/>
        </w:rPr>
        <w:t>手势正确</w:t>
      </w:r>
      <w:r>
        <w:rPr>
          <w:rFonts w:ascii="宋体" w:hAnsi="宋体" w:eastAsia="宋体" w:cs="Times New Roman"/>
          <w:szCs w:val="21"/>
        </w:rPr>
        <w:t>、节奏紧凑、分明；无误判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ascii="宋体" w:hAnsi="宋体" w:eastAsia="宋体" w:cs="Times New Roman"/>
          <w:szCs w:val="21"/>
        </w:rPr>
        <w:t>错判</w:t>
      </w:r>
      <w:r>
        <w:rPr>
          <w:rFonts w:hint="eastAsia" w:ascii="宋体" w:hAnsi="宋体" w:eastAsia="宋体" w:cs="Times New Roman"/>
          <w:szCs w:val="21"/>
        </w:rPr>
        <w:t>；</w:t>
      </w:r>
      <w:r>
        <w:rPr>
          <w:rFonts w:ascii="宋体" w:hAnsi="宋体" w:eastAsia="宋体" w:cs="Times New Roman"/>
          <w:szCs w:val="21"/>
        </w:rPr>
        <w:t>符合</w:t>
      </w:r>
      <w:r>
        <w:rPr>
          <w:rFonts w:hint="eastAsia" w:ascii="宋体" w:hAnsi="宋体" w:eastAsia="宋体" w:cs="Times New Roman"/>
          <w:szCs w:val="21"/>
        </w:rPr>
        <w:t>场上</w:t>
      </w:r>
      <w:r>
        <w:rPr>
          <w:rFonts w:ascii="宋体" w:hAnsi="宋体" w:eastAsia="宋体" w:cs="Times New Roman"/>
          <w:szCs w:val="21"/>
        </w:rPr>
        <w:t>裁判要求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8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5—7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6分</w:t>
      </w:r>
    </w:p>
    <w:p>
      <w:pPr>
        <w:spacing w:before="156" w:beforeLines="50" w:line="4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考生礼仪</w:t>
      </w:r>
      <w:r>
        <w:rPr>
          <w:rFonts w:ascii="宋体" w:hAnsi="宋体" w:eastAsia="宋体" w:cs="Times New Roman"/>
          <w:szCs w:val="21"/>
        </w:rPr>
        <w:t>规范，精神饱满</w:t>
      </w:r>
      <w:r>
        <w:rPr>
          <w:rFonts w:hint="eastAsia" w:ascii="宋体" w:hAnsi="宋体" w:eastAsia="宋体" w:cs="Times New Roman"/>
          <w:szCs w:val="21"/>
        </w:rPr>
        <w:t>；</w:t>
      </w:r>
      <w:r>
        <w:rPr>
          <w:rFonts w:ascii="宋体" w:hAnsi="宋体" w:eastAsia="宋体" w:cs="Times New Roman"/>
          <w:szCs w:val="21"/>
        </w:rPr>
        <w:t>声音</w:t>
      </w:r>
      <w:r>
        <w:rPr>
          <w:rFonts w:hint="eastAsia" w:ascii="宋体" w:hAnsi="宋体" w:eastAsia="宋体" w:cs="Times New Roman"/>
          <w:szCs w:val="21"/>
        </w:rPr>
        <w:t>较</w:t>
      </w:r>
      <w:r>
        <w:rPr>
          <w:rFonts w:ascii="宋体" w:hAnsi="宋体" w:eastAsia="宋体" w:cs="Times New Roman"/>
          <w:szCs w:val="21"/>
        </w:rPr>
        <w:t>响亮、口令</w:t>
      </w:r>
      <w:r>
        <w:rPr>
          <w:rFonts w:hint="eastAsia" w:ascii="宋体" w:hAnsi="宋体" w:eastAsia="宋体" w:cs="Times New Roman"/>
          <w:szCs w:val="21"/>
        </w:rPr>
        <w:t>较</w:t>
      </w:r>
      <w:r>
        <w:rPr>
          <w:rFonts w:ascii="宋体" w:hAnsi="宋体" w:eastAsia="宋体" w:cs="Times New Roman"/>
          <w:szCs w:val="21"/>
        </w:rPr>
        <w:t>清晰有爆发力；</w:t>
      </w:r>
      <w:r>
        <w:rPr>
          <w:rFonts w:hint="eastAsia" w:ascii="宋体" w:hAnsi="宋体" w:eastAsia="宋体" w:cs="Times New Roman"/>
          <w:szCs w:val="21"/>
        </w:rPr>
        <w:t>手势较正确</w:t>
      </w:r>
      <w:r>
        <w:rPr>
          <w:rFonts w:ascii="宋体" w:hAnsi="宋体" w:eastAsia="宋体" w:cs="Times New Roman"/>
          <w:szCs w:val="21"/>
        </w:rPr>
        <w:t>、节奏</w:t>
      </w:r>
      <w:r>
        <w:rPr>
          <w:rFonts w:hint="eastAsia" w:ascii="宋体" w:hAnsi="宋体" w:eastAsia="宋体" w:cs="Times New Roman"/>
          <w:szCs w:val="21"/>
        </w:rPr>
        <w:t>较</w:t>
      </w:r>
      <w:r>
        <w:rPr>
          <w:rFonts w:ascii="宋体" w:hAnsi="宋体" w:eastAsia="宋体" w:cs="Times New Roman"/>
          <w:szCs w:val="21"/>
        </w:rPr>
        <w:t>紧凑、分明；无误判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ascii="宋体" w:hAnsi="宋体" w:eastAsia="宋体" w:cs="Times New Roman"/>
          <w:szCs w:val="21"/>
        </w:rPr>
        <w:t>错判</w:t>
      </w:r>
      <w:r>
        <w:rPr>
          <w:rFonts w:hint="eastAsia" w:ascii="宋体" w:hAnsi="宋体" w:eastAsia="宋体" w:cs="Times New Roman"/>
          <w:szCs w:val="21"/>
        </w:rPr>
        <w:t>；</w:t>
      </w:r>
      <w:r>
        <w:rPr>
          <w:rFonts w:ascii="宋体" w:hAnsi="宋体" w:eastAsia="宋体" w:cs="Times New Roman"/>
          <w:szCs w:val="21"/>
        </w:rPr>
        <w:t>符合</w:t>
      </w:r>
      <w:r>
        <w:rPr>
          <w:rFonts w:hint="eastAsia" w:ascii="宋体" w:hAnsi="宋体" w:eastAsia="宋体" w:cs="Times New Roman"/>
          <w:szCs w:val="21"/>
        </w:rPr>
        <w:t>场上</w:t>
      </w:r>
      <w:r>
        <w:rPr>
          <w:rFonts w:ascii="宋体" w:hAnsi="宋体" w:eastAsia="宋体" w:cs="Times New Roman"/>
          <w:szCs w:val="21"/>
        </w:rPr>
        <w:t>裁判要求</w:t>
      </w:r>
      <w:r>
        <w:rPr>
          <w:rFonts w:hint="eastAsia" w:ascii="宋体" w:hAnsi="宋体" w:eastAsia="宋体" w:cs="Times New Roman"/>
          <w:szCs w:val="21"/>
        </w:rPr>
        <w:t>较好。</w:t>
      </w:r>
    </w:p>
    <w:p>
      <w:pPr>
        <w:spacing w:before="156" w:beforeLines="50" w:line="4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5—6</w:t>
      </w:r>
      <w:r>
        <w:rPr>
          <w:rFonts w:ascii="宋体" w:hAnsi="宋体" w:eastAsia="宋体" w:cs="Times New Roman"/>
          <w:szCs w:val="21"/>
        </w:rPr>
        <w:t>.0</w:t>
      </w:r>
      <w:r>
        <w:rPr>
          <w:rFonts w:hint="eastAsia" w:ascii="宋体" w:hAnsi="宋体" w:eastAsia="宋体" w:cs="Times New Roman"/>
          <w:szCs w:val="21"/>
        </w:rPr>
        <w:t>分</w:t>
      </w:r>
    </w:p>
    <w:p>
      <w:pPr>
        <w:spacing w:before="156" w:beforeLines="50" w:line="4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考生礼仪较</w:t>
      </w:r>
      <w:r>
        <w:rPr>
          <w:rFonts w:ascii="宋体" w:hAnsi="宋体" w:eastAsia="宋体" w:cs="Times New Roman"/>
          <w:szCs w:val="21"/>
        </w:rPr>
        <w:t>规范，精神</w:t>
      </w:r>
      <w:r>
        <w:rPr>
          <w:rFonts w:hint="eastAsia" w:ascii="宋体" w:hAnsi="宋体" w:eastAsia="宋体" w:cs="Times New Roman"/>
          <w:szCs w:val="21"/>
        </w:rPr>
        <w:t>较好；</w:t>
      </w:r>
      <w:r>
        <w:rPr>
          <w:rFonts w:ascii="宋体" w:hAnsi="宋体" w:eastAsia="宋体" w:cs="Times New Roman"/>
          <w:szCs w:val="21"/>
        </w:rPr>
        <w:t>声音、口令</w:t>
      </w:r>
      <w:r>
        <w:rPr>
          <w:rFonts w:hint="eastAsia" w:ascii="宋体" w:hAnsi="宋体" w:eastAsia="宋体" w:cs="Times New Roman"/>
          <w:szCs w:val="21"/>
        </w:rPr>
        <w:t>一般</w:t>
      </w:r>
      <w:r>
        <w:rPr>
          <w:rFonts w:ascii="宋体" w:hAnsi="宋体" w:eastAsia="宋体" w:cs="Times New Roman"/>
          <w:szCs w:val="21"/>
        </w:rPr>
        <w:t>；</w:t>
      </w:r>
      <w:r>
        <w:rPr>
          <w:rFonts w:hint="eastAsia" w:ascii="宋体" w:hAnsi="宋体" w:eastAsia="宋体" w:cs="Times New Roman"/>
          <w:szCs w:val="21"/>
        </w:rPr>
        <w:t>手势较</w:t>
      </w:r>
      <w:r>
        <w:rPr>
          <w:rFonts w:ascii="宋体" w:hAnsi="宋体" w:eastAsia="宋体" w:cs="Times New Roman"/>
          <w:szCs w:val="21"/>
        </w:rPr>
        <w:t>正确、节奏</w:t>
      </w:r>
      <w:r>
        <w:rPr>
          <w:rFonts w:hint="eastAsia" w:ascii="宋体" w:hAnsi="宋体" w:eastAsia="宋体" w:cs="Times New Roman"/>
          <w:szCs w:val="21"/>
        </w:rPr>
        <w:t>一般</w:t>
      </w:r>
      <w:r>
        <w:rPr>
          <w:rFonts w:ascii="宋体" w:hAnsi="宋体" w:eastAsia="宋体" w:cs="Times New Roman"/>
          <w:szCs w:val="21"/>
        </w:rPr>
        <w:t>；无误判</w:t>
      </w:r>
      <w:r>
        <w:rPr>
          <w:rFonts w:hint="eastAsia" w:ascii="宋体" w:hAnsi="宋体" w:eastAsia="宋体" w:cs="Times New Roman"/>
          <w:szCs w:val="21"/>
        </w:rPr>
        <w:t>、较少</w:t>
      </w:r>
      <w:r>
        <w:rPr>
          <w:rFonts w:ascii="宋体" w:hAnsi="宋体" w:eastAsia="宋体" w:cs="Times New Roman"/>
          <w:szCs w:val="21"/>
        </w:rPr>
        <w:t>错判</w:t>
      </w:r>
      <w:r>
        <w:rPr>
          <w:rFonts w:hint="eastAsia" w:ascii="宋体" w:hAnsi="宋体" w:eastAsia="宋体" w:cs="Times New Roman"/>
          <w:szCs w:val="21"/>
        </w:rPr>
        <w:t>；基本</w:t>
      </w:r>
      <w:r>
        <w:rPr>
          <w:rFonts w:ascii="宋体" w:hAnsi="宋体" w:eastAsia="宋体" w:cs="Times New Roman"/>
          <w:szCs w:val="21"/>
        </w:rPr>
        <w:t>符合</w:t>
      </w:r>
      <w:r>
        <w:rPr>
          <w:rFonts w:hint="eastAsia" w:ascii="宋体" w:hAnsi="宋体" w:eastAsia="宋体" w:cs="Times New Roman"/>
          <w:szCs w:val="21"/>
        </w:rPr>
        <w:t>场上</w:t>
      </w:r>
      <w:r>
        <w:rPr>
          <w:rFonts w:ascii="宋体" w:hAnsi="宋体" w:eastAsia="宋体" w:cs="Times New Roman"/>
          <w:szCs w:val="21"/>
        </w:rPr>
        <w:t>裁判要求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6分以下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考生达不到以上中等要求标准。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41"/>
        <w:gridCol w:w="2202"/>
        <w:gridCol w:w="24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武术散打运动项目竞赛裁判法的学习，能够掌握武术散打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武术散打运动项目竞赛裁判法的学习，较好掌握武术散打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武术散打运动项目竞赛裁判法的学习，基本掌握武术散打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掌握竞赛边裁打分、编排与记录、基本掌握场上裁判执裁理论及实践能力。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武术散打运动项目竞赛裁判法的学习，不能掌握武术散打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掌握竞赛边裁打分、编排与记录、不能完成场上裁判执裁理论及实践能力。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通过长期的训练实践对学生的体能、机能、心能和智能较大提升，在掌握武术散打的基本技术、基本理论和基本使用方法的同时起到对武德修养的目的。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通过长期的训练实践对学生的体能、机能、心能和智能有一定的提升，在掌握武术散打的基本技术、基本理论和基本使用方法的同时起到对武德修养的基本目的。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通过长期的训练实践对学生的体能、机能、心能和智能没有提升，不能掌握武术散打的基本技术、基本理论和基本使用方法，对武德的基本修养没有提高。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4ZTU0MTBkODg5OGQ4YmEzYTIwMTI2OTAwMTE4OGQ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2490B40"/>
    <w:rsid w:val="128F0A79"/>
    <w:rsid w:val="16416AC4"/>
    <w:rsid w:val="1DAB667A"/>
    <w:rsid w:val="1E9440D3"/>
    <w:rsid w:val="1F4937EB"/>
    <w:rsid w:val="1F996D80"/>
    <w:rsid w:val="2C61672D"/>
    <w:rsid w:val="2FED07A5"/>
    <w:rsid w:val="31474487"/>
    <w:rsid w:val="39734A7D"/>
    <w:rsid w:val="5DC77920"/>
    <w:rsid w:val="602A730B"/>
    <w:rsid w:val="6B132798"/>
    <w:rsid w:val="6BE514B9"/>
    <w:rsid w:val="7071389E"/>
    <w:rsid w:val="7838610D"/>
    <w:rsid w:val="7E4E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1</TotalTime>
  <ScaleCrop>false</ScaleCrop>
  <LinksUpToDate>false</LinksUpToDate>
  <CharactersWithSpaces>1839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扬涛功夫</cp:lastModifiedBy>
  <cp:lastPrinted>2020-12-24T07:17:00Z</cp:lastPrinted>
  <dcterms:modified xsi:type="dcterms:W3CDTF">2023-10-02T03:09:45Z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3C243FA5DB4C41DEA1A5962289EB7D92</vt:lpwstr>
  </property>
</Properties>
</file>