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武术散打主修（四）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WTCS10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课程目标1：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0"/>
        </w:rPr>
        <w:t>通过</w:t>
      </w:r>
      <w:r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  <w:t>武术散打运动项目竞赛裁判法的学习，掌握武术散打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掌握竞赛边裁打分、编排与记录、场上裁判执裁理论及实践能力。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课程目标2：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通过长期的训练实践对学生的体能、机能、心能和智能逐步提升，在掌握武术散打的基本技术、基本理论和基本使用方法的同时起到对武德修养的目的。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课程目标3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通过武术散打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的学习让学生掌握武术散打的基本技术，了解武术散打基本技术的要领及训练方法。以拳、腿、摔基本技术为承载手段，掌握健身、防身、修身的方法，以实践的过程实现对人的教化。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hAnsi="宋体" w:cs="宋体"/>
          <w:b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10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569"/>
        <w:gridCol w:w="5629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56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/>
                <w:bCs/>
                <w:szCs w:val="21"/>
                <w:lang w:val="en-US" w:eastAsia="zh-CN"/>
              </w:rPr>
              <w:t>课程子目标</w:t>
            </w:r>
          </w:p>
        </w:tc>
        <w:tc>
          <w:tcPr>
            <w:tcW w:w="56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20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56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1.1</w:t>
            </w:r>
          </w:p>
        </w:tc>
        <w:tc>
          <w:tcPr>
            <w:tcW w:w="56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武术散打教学法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武术散打训练法</w:t>
            </w:r>
          </w:p>
        </w:tc>
        <w:tc>
          <w:tcPr>
            <w:tcW w:w="220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1.2</w:t>
            </w:r>
          </w:p>
        </w:tc>
        <w:tc>
          <w:tcPr>
            <w:tcW w:w="56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</w:p>
        </w:tc>
        <w:tc>
          <w:tcPr>
            <w:tcW w:w="220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56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Cs w:val="21"/>
                <w:lang w:val="en-US" w:eastAsia="zh-CN"/>
              </w:rPr>
              <w:t>2.1</w:t>
            </w:r>
          </w:p>
        </w:tc>
        <w:tc>
          <w:tcPr>
            <w:tcW w:w="56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武术散专项体能</w:t>
            </w:r>
          </w:p>
        </w:tc>
        <w:tc>
          <w:tcPr>
            <w:tcW w:w="220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56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3.1</w:t>
            </w:r>
          </w:p>
        </w:tc>
        <w:tc>
          <w:tcPr>
            <w:tcW w:w="562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武术散打模拟实战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武术散打实战</w:t>
            </w:r>
          </w:p>
        </w:tc>
        <w:tc>
          <w:tcPr>
            <w:tcW w:w="2207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3.2</w:t>
            </w:r>
          </w:p>
        </w:tc>
        <w:tc>
          <w:tcPr>
            <w:tcW w:w="562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2207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  <w:color w:val="auto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了解武术散打教学的特点与要求，掌握武术散打教学内容安排实施的步骤及教学的方法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武术散打的教学方法与练习方式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武术散打教学特点与要求、教学的阶段与步骤、教学方法与练习形式、教学文件与课的结构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（二）武术散打训练法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了解武术散打训练的目的，掌握武术散打训练的方法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武术散打运动员心能的训练方法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武术散打教训练的目的、训练方法、训练原则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numPr>
          <w:ilvl w:val="0"/>
          <w:numId w:val="3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实践篇 </w:t>
      </w:r>
    </w:p>
    <w:p>
      <w:pPr>
        <w:widowControl/>
        <w:numPr>
          <w:ilvl w:val="0"/>
          <w:numId w:val="4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武术散打专项体能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了解武术散打专项体能，掌握散打专项体能练习技术的要领及练习方法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强度负荷的把握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循环圈靶、耐力靶、攻防靶、速度靶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（二）武术散打模拟实战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了解武术散打模拟攻防实战技术，掌握散打实战技术的要领及练习方法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各技术攻防灵活转换及战机的把握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拳法条件实战、拳摔条件实战、拳腿条件实战、腿摔条件实战、腿法条件实战、摔法条件实战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（三）武术散打实战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了解武术散打实战技术，掌握散打实战技术的要领及练习方法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实战中技术运用与心理素质提升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拳腿摔实战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武术散打教学法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武术散打训练法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武术散打专项体能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武术散打模拟实战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武术散打实战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</w:tbl>
    <w:p>
      <w:pPr>
        <w:widowControl/>
        <w:numPr>
          <w:ilvl w:val="0"/>
          <w:numId w:val="5"/>
        </w:numPr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教学进度</w:t>
      </w:r>
    </w:p>
    <w:p>
      <w:pPr>
        <w:widowControl/>
        <w:spacing w:before="156" w:beforeLines="50" w:after="156" w:afterLines="50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651"/>
        <w:gridCol w:w="625"/>
        <w:gridCol w:w="4261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武术散打教学法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了解武术散打教学的特点与要求，掌握武术散打教学内容安排实施的步骤及教学的方法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武术散训练法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了解武术散打训练的目的，掌握武术散打训练的方法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武术散训练法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了解武术散打训练的目的，掌握武术散打训练的方法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武术散打专项体能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掌握武术散打专项体能练习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武术散打专项体能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掌握武术散打专项体能练习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掌握武术散打拳腿防守反击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掌握散打腿法攻防实战技术要领及练习方法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掌握散打腿摔攻防实战技术要领及练习方法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掌握散打摔法攻防实战技术要领及练习方法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武术散打模拟实战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掌握散打拳腿攻防实战技术要领及练习方法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掌握散打实战技术的要领及练习方法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掌握散打实战技术的要领及练习方法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掌握散打实战技术的要领及练习方法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武术散打实战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掌握散打实战技术的要领及练习方法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机动</w:t>
            </w:r>
          </w:p>
        </w:tc>
        <w:tc>
          <w:tcPr>
            <w:tcW w:w="625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本阶段技术任务主要是使学生对动作表象进一步精准化，消除多余动作的过分紧张，提高动作速度和力度，形成良好的“距离感”。</w:t>
      </w:r>
      <w:r>
        <w:rPr>
          <w:rFonts w:hint="eastAsia" w:ascii="Times New Roman" w:hAnsi="Times New Roman" w:eastAsia="宋体" w:cs="Times New Roman"/>
          <w:szCs w:val="20"/>
        </w:rPr>
        <w:t>主要使用动作示范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、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喂招</w:t>
      </w:r>
      <w:r>
        <w:rPr>
          <w:rFonts w:hint="eastAsia" w:ascii="Times New Roman" w:hAnsi="Times New Roman" w:eastAsia="宋体" w:cs="Times New Roman"/>
          <w:szCs w:val="20"/>
        </w:rPr>
        <w:t>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基础技能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平时：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出勤率、课堂表现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专项身体能力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3分钟</w:t>
      </w:r>
      <w:r>
        <w:rPr>
          <w:rFonts w:hint="eastAsia" w:ascii="宋体" w:hAnsi="宋体" w:eastAsia="宋体"/>
          <w:lang w:val="en-US" w:eastAsia="zh-CN"/>
        </w:rPr>
        <w:t>散打实战 （女生2分钟）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10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8.6</w:t>
      </w:r>
      <w:r>
        <w:rPr>
          <w:rFonts w:hint="eastAsia" w:ascii="宋体" w:hAnsi="宋体" w:eastAsia="宋体" w:cs="Times New Roman"/>
          <w:szCs w:val="21"/>
        </w:rPr>
        <w:t>分：技法运用正确，时机把握准确，战术意识及应变能力强，攻防转换及时，临场表现有勇有谋，尊重对手，服从裁判。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8.5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7.6</w:t>
      </w:r>
      <w:r>
        <w:rPr>
          <w:rFonts w:hint="eastAsia" w:ascii="宋体" w:hAnsi="宋体" w:eastAsia="宋体" w:cs="Times New Roman"/>
          <w:szCs w:val="21"/>
        </w:rPr>
        <w:t>分：技法运用比较正确，时机把握较准确，战术意识及应变能力较强，攻防转换及时，临场表现勇敢，尊重对手，稍服从裁判。</w:t>
      </w:r>
    </w:p>
    <w:p>
      <w:pPr>
        <w:spacing w:before="156" w:beforeLines="50" w:line="400" w:lineRule="exact"/>
        <w:ind w:left="1050" w:hanging="1050" w:hangingChars="5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7.5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分：技法运用及时，时机把握一般，战术意识较明显，应变能力一般，攻防转换较及时，临场表现较勇敢，尊重对手，服从裁判。</w:t>
      </w:r>
    </w:p>
    <w:p>
      <w:pPr>
        <w:spacing w:before="156" w:beforeLines="50" w:line="400" w:lineRule="exact"/>
        <w:ind w:left="1050" w:hanging="1050" w:hangingChars="5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分以下：技法运用不正确，时机把握不准，战术意识及应变能力差，攻防转换不及时，临场表现胆怯，不尊重对手或不服从裁判。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auto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62"/>
        <w:gridCol w:w="2146"/>
        <w:gridCol w:w="2405"/>
        <w:gridCol w:w="2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武术散打运动项目竞赛裁判法的学习，能够掌握武术散打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spacing w:before="156" w:beforeLines="50" w:line="4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武术散打运动项目竞赛裁判法的学习，较好掌握武术散打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武术散打运动项目竞赛裁判法的学习，基本掌握武术散打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掌握竞赛边裁打分、编排与记录、基本掌握场上裁判执裁理论及实践能力。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武术散打运动项目竞赛裁判法的学习，不能掌握武术散打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掌握竞赛边裁打分、编排与记录、不能完成场上裁判执裁理论及实践能力。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通过长期的训练实践对学生的体能、机能、心能和智能较大提升，在掌握武术散打的基本技术、基本理论和基本使用方法的同时起到对武德修养的目的。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通过长期的训练实践对学生的体能、机能、心能和智能有一定的提升，在掌握武术散打的基本技术、基本理论和基本使用方法的同时起到对武德修养的基本目的。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通过长期的训练实践对学生的体能、机能、心能和智能没有提升，不能掌握武术散打的基本技术、基本理论和基本使用方法，对武德的基本修养没有提高。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通过武术散打的学习让学生掌握武术散打的基本技术，了解武术散打基本技术的要领及训练方法。以拳、腿、摔基本技术为承载手段，掌握健身、防身、修身的方法，以实践的过程实现对人的教化。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通过武术散打的学习让学生较好掌握武术散打的基本技术，较了解武术散打基本技术的要领及训练方法。以拳、腿、摔基本技术为承载手段，较好掌握健身、防身、修身的方法，以实践的过程实现对人的教化。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通过武术散打的学习让学生基本掌握武术散打的基本技术，基本了解武术散打基本技术的要领及训练方法。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ind w:firstLine="420" w:firstLineChars="200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通过武术散打的学习学生不能掌握武术散打的基本技术，不了解武术散打基本技术的要领及训练方法。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DE2258"/>
    <w:multiLevelType w:val="singleLevel"/>
    <w:tmpl w:val="9ADE225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A596C6"/>
    <w:multiLevelType w:val="singleLevel"/>
    <w:tmpl w:val="00A596C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CF3337E"/>
    <w:multiLevelType w:val="singleLevel"/>
    <w:tmpl w:val="7CF3337E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0E331F74"/>
    <w:rsid w:val="11494B7D"/>
    <w:rsid w:val="1B842D27"/>
    <w:rsid w:val="1F4937EB"/>
    <w:rsid w:val="1F996D80"/>
    <w:rsid w:val="2FED07A5"/>
    <w:rsid w:val="31474487"/>
    <w:rsid w:val="380A1AD8"/>
    <w:rsid w:val="39734A7D"/>
    <w:rsid w:val="3CE962FB"/>
    <w:rsid w:val="409E33E9"/>
    <w:rsid w:val="55D44CB8"/>
    <w:rsid w:val="5DC77920"/>
    <w:rsid w:val="602A730B"/>
    <w:rsid w:val="689A2C09"/>
    <w:rsid w:val="6B132798"/>
    <w:rsid w:val="7838610D"/>
    <w:rsid w:val="7B23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2</TotalTime>
  <ScaleCrop>false</ScaleCrop>
  <LinksUpToDate>false</LinksUpToDate>
  <CharactersWithSpaces>1839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2021-05-06T04:06:27Z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