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《田径主修（三）》课程教学大纲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Majored in track and field Ⅲ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color w:val="FF0000"/>
                <w:highlight w:val="yellow"/>
              </w:rPr>
            </w:pPr>
            <w:r>
              <w:rPr>
                <w:rFonts w:ascii="宋体" w:hAnsi="宋体" w:eastAsia="宋体"/>
              </w:rPr>
              <w:t>PEED606</w:t>
            </w: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2021级</w:t>
            </w:r>
            <w:bookmarkStart w:id="0" w:name="_GoBack"/>
            <w:bookmarkEnd w:id="0"/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2.0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2022年6月5日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第三版</w:t>
            </w:r>
            <w:r>
              <w:rPr>
                <w:rFonts w:hint="eastAsia" w:ascii="宋体" w:hAnsi="宋体" w:eastAsia="宋体"/>
              </w:rPr>
              <w:t>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出版社，201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eastAsia="zh-CN"/>
              </w:rPr>
              <w:t>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《田径主修（三）》是一门专业选修课程，此课程将贯彻和落实党和国家“立德树人”、“以学生为本”的教育方针。课程教学所要达到的总目标：通过训练提高学生专业技战术水平和竞赛能力，使学生掌握田径训练的一般理论与方法，了解教练员工作的基本方法与程序，对田径训练形成一定的直观感受，初步掌握田径训练内容的安排和设置、运动负荷的安排与调整，以及田径技战术配合设置的方法和原理，提高学生田径训练和竞赛指挥的能力，培养学生从事田径训练、竞赛指挥、竞赛组织管理的能力以及田径竞赛裁判工作的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00" w:lineRule="exact"/>
        <w:ind w:firstLine="480" w:firstLineChars="200"/>
        <w:textAlignment w:val="auto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  <w:lang w:val="en-US" w:eastAsia="zh-CN"/>
        </w:rPr>
        <w:t>2.</w:t>
      </w:r>
      <w:r>
        <w:rPr>
          <w:rFonts w:hint="eastAsia" w:hAnsi="宋体" w:cs="宋体"/>
        </w:rPr>
        <w:t>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课程目标4：树立终身学习理念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  <w:lang w:val="en-US" w:eastAsia="zh-CN"/>
        </w:rPr>
        <w:t>4.</w:t>
      </w:r>
      <w:r>
        <w:rPr>
          <w:rFonts w:hint="eastAsia" w:hAnsi="宋体" w:cs="宋体"/>
        </w:rPr>
        <w:t>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Ansi="宋体" w:cs="宋体"/>
        </w:rPr>
      </w:pPr>
      <w:r>
        <w:rPr>
          <w:rFonts w:hint="eastAsia" w:hAnsi="宋体" w:cs="宋体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57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2.通过对田径运动的发展和社会关系的学习，使学生理解体育运动对社会文化发展的积极作用。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1.透过田径训练和比赛，帮助学生理解田径运动蕴含的情感培养功能。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2.通过教学实践，使学生掌握田径运动的育人价值，并能够较好得体现在教学活动。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3.学生应通过教学实践和实习来发展课后体育活动的组织和指导能力，理解体育课和课后体育活动指导原则的区别与联系。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教学实践，使学生理解教学能力终身学习的重要性，理解教学能力需要与时俱进的必要性，养成在教学工作中不断学习的创新机身。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1.充分发挥田径运动的团队协作功能，提高学生的团队意识，理解有效沟通的重要性。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2.通过田径比赛和教学实践，养成学生的领导能力和风格，理解教练和教师在领导能力方面的区别与联系。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281" w:firstLineChars="100"/>
        <w:jc w:val="left"/>
        <w:rPr>
          <w:rFonts w:eastAsia="黑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（一）理论知识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大型田径比赛编排记录公告及信息化管理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第一节大型田径比赛概述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教学重点：大型天净比赛的特点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第二节大型田径比赛信息管理的硬件设施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教学重点：大型田径比赛的信息管理系统的设备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第三节大型田径比赛编排记录公告信息工作方法与职能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教学重点：大型田径比赛的信息管理系统的基本工作流程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1.大型田径比赛的特点是什么？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2.大型比赛与基层田径表的区别是什么？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3.大型田径比赛编排的特点是什么?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4.大型田径比赛编排记录信息公告的一般程序是什么？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第二章 大型田径运动会的裁判工作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第一节 大型田径裁判工作的特点、裁判员应具备的条件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教学重点：裁判员的政治思想素质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第二节 田径运动竞赛规则与裁判工作方法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教学重点：赛前、赛后控制中心裁判工作方法；径赛裁判工作方法；田赛裁判工作方法思考题：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1.田径裁判员的基本素养是什么？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2.一般田径比赛的组织结构？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3.赛前控制中心的任务是什么?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4.赛后控制中心的工作任务是什么？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5.田赛项目裁判组一般的分工是什么？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6.发令员的职责和工作方法是什么？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第三章 田径运动科学研究方法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田径运动研究的内容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教学重点：田径运动科学研究的主要内容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田径运动研究的主要方法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教学重点：调查法和实验法及其应用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1.田径运动科学研究的方向与内容有哪些？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2.田径运动研究的方法包括哪些？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3.使用实验法时，田径运动研究的注意事项有哪些？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4.体能训练研究时应考虑哪些问题？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第四章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单项技术发展趋势、技术分析与青少年训练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教学重点：中小学田径项目的业余训练特点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1.中学业余训练的特点?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2.小学生发展身体素质的敏感期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3.小学生力量训练的特点是什么？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4.速度包括那三个方面？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5.耐力素质训练的注意事项是什么？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240" w:firstLineChars="100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3000米障碍跑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教学重点：障碍跑技术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1.中小学跨越障碍的方法有哪些/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2.如何设计障碍物？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第二章 三级跳远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教学重点：三级跳远三跳的比例与青少年三级跳远的教学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1.三级跳远的技术分类？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2.三级跳远的三步比例是什么？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3.如何发展下肢爆发力？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4.中学生三级跳远教学的注意事项是什么？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第三章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掷铁饼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420" w:left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教学重点：原地掷铁饼技术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1.什么是迎角，对成绩的影响是什么？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2.最后用力的技术要求是什么？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3.在旋转时，如何有效的控制铁饼？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第四章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撑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竿</w:t>
      </w:r>
      <w:r>
        <w:rPr>
          <w:rFonts w:hint="eastAsia" w:ascii="黑体" w:hAnsi="黑体" w:eastAsia="黑体" w:cs="黑体"/>
          <w:bCs/>
          <w:sz w:val="24"/>
          <w:szCs w:val="24"/>
        </w:rPr>
        <w:t>跳高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教学重点：降杆起跳技术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1.降杆插穴技术的要求是什么？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2.如何将撑杆跳高运用在中小学生发展身体素质的练习中？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第五章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掷标枪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教学重点：鞭打技术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1.最后用力技术的要求是什么？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2.如何做到用力与标枪的纵轴一致？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3.为什么掷标枪时下肢发力不够，如何解决？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4.掷垒球的教学步骤是什么？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第六章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背越式跳高技术与教学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教学重点：起跳过杆技术与青少年跳高训练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1.背越式跳高的优势在哪里？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2.如何发展起跳腿的爆发力？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3.如何预防腰部的损伤？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1、理论讲授和每次技术教学课结束，给学生布置课后作业与练习。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2、担任田径运动会的编排工作和裁判工作。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3、有计划地安排学生带做准备活动与放松活动。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四、课时分配</w:t>
      </w:r>
    </w:p>
    <w:p>
      <w:pPr>
        <w:widowControl/>
        <w:spacing w:beforeLines="50" w:afterLines="50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表2：教学内容和学时分配表</w:t>
      </w:r>
    </w:p>
    <w:tbl>
      <w:tblPr>
        <w:tblStyle w:val="6"/>
        <w:tblW w:w="7540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5426"/>
        <w:gridCol w:w="11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分类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教学内容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理论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部分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第一节大型田径比赛概述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第二节大型田径比赛信息管理的硬件设施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第三节大型田径比赛编排记录公告信息工作方法与职能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大型田径裁判工作的特点、裁判员应具备的条件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田径运动竞赛规则与裁判工作方法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技术与技能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田径运动研究的内容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田径运动研究的主要方法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3000米障碍跑技术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3000米障碍跑教学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 3000米障碍跑裁判实践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3000米障碍跑技术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3000米障碍跑教学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 3000米障碍跑裁判实践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机动、考核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总计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Lines="50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 w:cs="宋体"/>
          <w:sz w:val="21"/>
          <w:szCs w:val="21"/>
        </w:rPr>
        <w:t>11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朱伟强著，《基于标准的体育课程设计》，北京体育大学出版社，2010.9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六、教学方法 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（一）理论课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3.翻转教学法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（二）技术课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1．讲解与示范的教学方法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讲解精炼、准确，突出教学重点，多练为主。技术动作口诀化，便于学生记忆。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示范时首先要明确示范目的。注意和提示学生示范面和位置的选择。运用不同性质的示范，强化正确动作、抑制错误动作。除正确动作示范外，对学生的错误动作，也可做模仿性的动作“示范”。或利用“正误对比示范”的手段来达到强化正确动作、抑制错误动作的功效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练习法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从培养师范生发现问题、分析问题、解决问题的能力和探究意识出发。通过主修微信群发布优秀运动员技术录像，指导学生通过网络查阅课程中涉及的学习资源，自主开展学习，充分发挥自身的学习能动性。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探究学习法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实践教学</w:t>
      </w:r>
    </w:p>
    <w:p>
      <w:pPr>
        <w:spacing w:line="240" w:lineRule="auto"/>
        <w:ind w:firstLine="420" w:firstLineChars="200"/>
        <w:rPr>
          <w:rFonts w:hAnsi="宋体"/>
        </w:rPr>
      </w:pPr>
      <w:r>
        <w:rPr>
          <w:rFonts w:hint="eastAsia" w:ascii="宋体" w:hAnsi="宋体" w:eastAsia="宋体" w:cs="宋体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widowControl/>
        <w:spacing w:beforeLines="50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表3：课程考核与课程目标的对应关系表</w:t>
      </w:r>
    </w:p>
    <w:tbl>
      <w:tblPr>
        <w:tblStyle w:val="7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3391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课程目标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课程目标1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师德师风建设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课程目标2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掌握</w:t>
            </w:r>
            <w:r>
              <w:rPr>
                <w:rFonts w:hint="eastAsia" w:hAnsi="宋体" w:cs="宋体"/>
                <w:sz w:val="21"/>
                <w:szCs w:val="21"/>
              </w:rPr>
              <w:t>田径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训练与比赛的知识和技术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课程目标3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提升基础教育体育课教学水平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课程目标4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树立终身学习理念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日常观察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szCs w:val="21"/>
        </w:rPr>
        <w:t>表4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Cs w:val="21"/>
        </w:rPr>
        <w:t>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ind w:firstLine="843" w:firstLineChars="40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ind w:firstLine="105" w:firstLineChars="5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期末理论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期末技术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分目标达成度={0.2ｘ平时分目标成绩+0.3ｘ期末理论分目标成绩+0.5ｘ期末技术分目标成绩}/分目标总分。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（1）课程总成绩：</w:t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课程总成绩组成：平时成绩30%，技术成绩40%，技能成绩30%。3、三部分成绩中任何一部分不及格，为总成绩不及格。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Cs w:val="21"/>
        </w:rPr>
        <w:t>（2）考核内容与形式：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（3）课程总成绩：</w:t>
      </w:r>
      <w:r>
        <w:rPr>
          <w:rFonts w:hint="eastAsia" w:ascii="宋体" w:hAnsi="宋体" w:eastAsia="宋体" w:cs="宋体"/>
        </w:rPr>
        <w:t>课程总成绩组成：平时成绩30%，技术成绩30%，技能成绩40%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Cs w:val="21"/>
        </w:rPr>
        <w:t>（4）考核内容与形式：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平时成绩（30%）：出勤率10%；复习效果、回答问题和课堂讨论10%；合作学习与研究性学习的表现10%。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技术成绩（30%）：三级跳远技评10%，挺身式跳远10%，背向滑步推铅球技评10%。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考核方式：考试采用教考分离，考核小组（三名考评教师）由教研室选派，采用随堂考试的形式进行。考核要求与评分标准见表3、4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理论成绩（30%）：开卷笔试，考核内容为本学期全部教学内容。试题中应用题不低于60%。</w:t>
      </w:r>
    </w:p>
    <w:p>
      <w:pPr>
        <w:snapToGrid w:val="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表5</w:t>
      </w:r>
      <w:r>
        <w:rPr>
          <w:rFonts w:hint="eastAsia" w:ascii="宋体" w:hAnsi="宋体"/>
          <w:b/>
          <w:bCs/>
          <w:szCs w:val="21"/>
          <w:lang w:eastAsia="zh-CN"/>
        </w:rPr>
        <w:t>：</w:t>
      </w:r>
      <w:r>
        <w:rPr>
          <w:rFonts w:hint="eastAsia" w:ascii="宋体" w:hAnsi="宋体"/>
          <w:b/>
          <w:bCs/>
          <w:szCs w:val="21"/>
        </w:rPr>
        <w:t xml:space="preserve"> 技评等级与评分标准</w:t>
      </w:r>
    </w:p>
    <w:tbl>
      <w:tblPr>
        <w:tblStyle w:val="7"/>
        <w:tblW w:w="84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评分等级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90—100分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（优秀）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80—89分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（良好）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主要技术环节动作正确，次要技术环节还存在缺点，整个技术动作自然、协调，实效性较好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70—79分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（中等）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主要技术环节动作不完善或次要技术环节存在明显缺点，整个动作不够自然、协调，具有一定的实效性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60—69分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（及格）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主要技术环节和次要技术环节都存在明显缺点，动作紧张，实效性一般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60分以下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（不及格）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主要技术环节和次要技术环节都存在错误，动作紧张、不协调，实效性差</w:t>
            </w:r>
          </w:p>
        </w:tc>
      </w:tr>
    </w:tbl>
    <w:p>
      <w:pPr>
        <w:snapToGrid w:val="0"/>
        <w:jc w:val="both"/>
        <w:rPr>
          <w:rFonts w:hint="eastAsia" w:ascii="宋体" w:hAnsi="宋体"/>
          <w:b/>
          <w:bCs/>
          <w:szCs w:val="21"/>
        </w:rPr>
      </w:pPr>
    </w:p>
    <w:p>
      <w:pPr>
        <w:snapToGrid w:val="0"/>
        <w:jc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表6</w:t>
      </w:r>
      <w:r>
        <w:rPr>
          <w:rFonts w:hint="eastAsia" w:ascii="宋体" w:hAnsi="宋体"/>
          <w:b/>
          <w:bCs/>
          <w:szCs w:val="21"/>
          <w:lang w:eastAsia="zh-CN"/>
        </w:rPr>
        <w:t>：</w:t>
      </w:r>
      <w:r>
        <w:rPr>
          <w:rFonts w:hint="eastAsia" w:ascii="宋体" w:hAnsi="宋体"/>
          <w:b/>
          <w:bCs/>
          <w:szCs w:val="21"/>
        </w:rPr>
        <w:t xml:space="preserve"> 技评最低成绩要求</w:t>
      </w:r>
    </w:p>
    <w:tbl>
      <w:tblPr>
        <w:tblStyle w:val="6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232"/>
        <w:gridCol w:w="1276"/>
        <w:gridCol w:w="1224"/>
        <w:gridCol w:w="1129"/>
        <w:gridCol w:w="129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三级跳远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（女）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三级跳远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（女）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铅球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(女)4KG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铅球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最低成绩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9.50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4.00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9.30</w:t>
            </w:r>
          </w:p>
        </w:tc>
      </w:tr>
    </w:tbl>
    <w:p>
      <w:pPr>
        <w:snapToGrid w:val="0"/>
        <w:rPr>
          <w:rFonts w:ascii="宋体" w:hAnsi="宋体"/>
          <w:szCs w:val="21"/>
        </w:rPr>
      </w:pPr>
    </w:p>
    <w:p>
      <w:pPr>
        <w:snapToGrid w:val="0"/>
        <w:spacing w:line="240" w:lineRule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说明：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（1）三级跳远：男子采用9米板，女子采用7米板。每人有三次试跳机会，以较优成绩作为最终成绩。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（2）挺身式跳远：男子采用3米板，女子采用2米板。每人有三次试跳机会，以较优成绩作为最终成绩。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（3）背向滑步推铅球：女子4公斤，男子5公斤，背向滑步。每人三次试掷机会，以较优成绩作为最终成绩。</w:t>
      </w: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9769D1B"/>
    <w:multiLevelType w:val="singleLevel"/>
    <w:tmpl w:val="D9769D1B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47AF8"/>
    <w:rsid w:val="00992094"/>
    <w:rsid w:val="00A03BBD"/>
    <w:rsid w:val="00A61EFD"/>
    <w:rsid w:val="00AA4570"/>
    <w:rsid w:val="00AA630A"/>
    <w:rsid w:val="00AC7B9E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CF12AE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137720D"/>
    <w:rsid w:val="03B86540"/>
    <w:rsid w:val="066B6EE4"/>
    <w:rsid w:val="08840A5D"/>
    <w:rsid w:val="0B552058"/>
    <w:rsid w:val="1108788F"/>
    <w:rsid w:val="156C01DF"/>
    <w:rsid w:val="19C12A65"/>
    <w:rsid w:val="1BBA60A1"/>
    <w:rsid w:val="22B5288B"/>
    <w:rsid w:val="30923EEC"/>
    <w:rsid w:val="32594346"/>
    <w:rsid w:val="38166895"/>
    <w:rsid w:val="3E866CA5"/>
    <w:rsid w:val="41FF2260"/>
    <w:rsid w:val="42596770"/>
    <w:rsid w:val="54F46750"/>
    <w:rsid w:val="5BE2370D"/>
    <w:rsid w:val="5CB90FC9"/>
    <w:rsid w:val="5EA672D1"/>
    <w:rsid w:val="5FCA2065"/>
    <w:rsid w:val="74BB483B"/>
    <w:rsid w:val="759D1D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1128</Words>
  <Characters>6432</Characters>
  <Lines>53</Lines>
  <Paragraphs>15</Paragraphs>
  <TotalTime>32</TotalTime>
  <ScaleCrop>false</ScaleCrop>
  <LinksUpToDate>false</LinksUpToDate>
  <CharactersWithSpaces>7545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2023-10-07T11:08:26Z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68555E5B19414C9DB0D9F3D4042FE444</vt:lpwstr>
  </property>
</Properties>
</file>